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8" w:name="Xd984e313bf29c535d2214bb6f5d973bfcc1c83c"/>
    <w:p>
      <w:r>
        <w:drawing>
          <wp:inline>
            <wp:extent cx="2160000" cy="680985"/>
            <wp:docPr id="1" name="Picture 1"/>
            <wp:cNvGraphicFramePr>
              <a:graphicFrameLocks noChangeAspect="1"/>
            </wp:cNvGraphicFramePr>
            <a:graphic>
              <a:graphicData uri="http://schemas.openxmlformats.org/drawingml/2006/picture">
                <pic:pic>
                  <pic:nvPicPr>
                    <pic:cNvPr id="0" name="shp_logo.png"/>
                    <pic:cNvPicPr/>
                  </pic:nvPicPr>
                  <pic:blipFill>
                    <a:blip r:embed="rId12"/>
                    <a:stretch>
                      <a:fillRect/>
                    </a:stretch>
                  </pic:blipFill>
                  <pic:spPr>
                    <a:xfrm>
                      <a:off x="0" y="0"/>
                      <a:ext cx="2160000" cy="680985"/>
                    </a:xfrm>
                    <a:prstGeom prst="rect"/>
                  </pic:spPr>
                </pic:pic>
              </a:graphicData>
            </a:graphic>
          </wp:inline>
        </w:drawing>
      </w:r>
    </w:p>
    <w:p>
      <w:pPr>
        <w:spacing w:after="600"/>
      </w:pPr>
      <w:r>
        <w:rPr>
          <w:b/>
          <w:color w:val="FF9202"/>
          <w:sz w:val="22"/>
        </w:rPr>
        <w:t>Supported Housing Expertise</w:t>
      </w:r>
    </w:p>
    <w:p>
      <w:pPr>
        <w:pStyle w:val="Heading1"/>
      </w:pPr>
      <w:r>
        <w:t xml:space="preserve">Appendix 11: Contrivance Risk Indicators Checklist</w:t>
      </w:r>
    </w:p>
    <w:p>
      <w:pPr>
        <w:pStyle w:val="FirstParagraph"/>
      </w:pPr>
      <w:r>
        <w:t xml:space="preserve">A template from</w:t>
      </w:r>
      <w:r>
        <w:t xml:space="preserve"> </w:t>
      </w:r>
      <w:r>
        <w:rPr>
          <w:i/>
          <w:iCs/>
        </w:rPr>
        <w:t xml:space="preserve">Managing Housing Benefit Claims in Supported Housing</w:t>
      </w:r>
      <w:r>
        <w:t xml:space="preserve">, Supported Housing People Ltd, Version 1.0, October 2026.</w:t>
      </w:r>
    </w:p>
    <w:p>
      <w:pPr>
        <w:pStyle w:val="BlockText"/>
        <w:pBdr>
          <w:left w:val="single" w:sz="24" w:space="8" w:color="FF9202"/>
        </w:pBdr>
        <w:shd w:val="clear" w:color="auto" w:fill="EEF2F8"/>
        <w:spacing w:after="0" w:before="0"/>
        <w:ind w:left="227" w:right="113"/>
      </w:pPr>
      <w:r>
        <w:rPr>
          <w:b/>
          <w:bCs/>
        </w:rPr>
        <w:t xml:space="preserve">Free to adapt.</w:t>
      </w:r>
      <w:r>
        <w:t xml:space="preserve"> </w:t>
      </w:r>
      <w:r>
        <w:t xml:space="preserve">You can change this template to suit your organisation, add your own logo, remove the SHP branding and share your version, including commercially. Please credit SHP, say that you have changed it, and do not suggest that SHP has approved your version.</w:t>
      </w:r>
    </w:p>
    <w:p>
      <w:pPr>
        <w:pStyle w:val="BlockText"/>
        <w:pBdr>
          <w:left w:val="single" w:sz="24" w:space="8" w:color="FF9202"/>
        </w:pBdr>
        <w:shd w:val="clear" w:color="auto" w:fill="EEF2F8"/>
        <w:spacing w:after="0" w:before="0"/>
        <w:ind w:left="227" w:right="113"/>
      </w:pPr>
      <w:r>
        <w:rPr>
          <w:b/>
          <w:bCs/>
        </w:rPr>
        <w:t xml:space="preserve">Credit:</w:t>
      </w:r>
      <w:r>
        <w:t xml:space="preserve"> </w:t>
      </w:r>
      <w:r>
        <w:t xml:space="preserve">Adapted from</w:t>
      </w:r>
      <w:r>
        <w:t xml:space="preserve"> </w:t>
      </w:r>
      <w:r>
        <w:rPr>
          <w:i/>
          <w:iCs/>
        </w:rPr>
        <w:t xml:space="preserve">Managing Housing Benefit Claims in Supported Housing</w:t>
      </w:r>
      <w:r>
        <w:t xml:space="preserve">, Appendix 11, Supported Housing People Ltd, October 2026. Licensed under</w:t>
      </w:r>
      <w:r>
        <w:t xml:space="preserve"> </w:t>
      </w:r>
      <w:hyperlink r:id="rId9">
        <w:r>
          <w:rPr>
            <w:rStyle w:val="Hyperlink"/>
          </w:rPr>
          <w:t xml:space="preserve">CC BY 4.0</w:t>
        </w:r>
      </w:hyperlink>
      <w:r>
        <w:t xml:space="preserve">. Changes have been made.</w:t>
      </w:r>
    </w:p>
    <w:p>
      <w:pPr>
        <w:pStyle w:val="BlockText"/>
        <w:pBdr>
          <w:left w:val="single" w:sz="24" w:space="8" w:color="FF9202"/>
        </w:pBdr>
        <w:shd w:val="clear" w:color="auto" w:fill="EEF2F8"/>
        <w:spacing w:after="0" w:before="0"/>
        <w:ind w:left="227" w:right="113"/>
      </w:pPr>
      <w:r>
        <w:t xml:space="preserve">Chapter references are to the manual, which is free to read at</w:t>
      </w:r>
      <w:r>
        <w:t xml:space="preserve"> </w:t>
      </w:r>
      <w:hyperlink r:id="rId10">
        <w:r>
          <w:rPr>
            <w:rStyle w:val="Hyperlink"/>
          </w:rPr>
          <w:t xml:space="preserve">supportedhousing.blog/manual</w:t>
        </w:r>
      </w:hyperlink>
      <w:r>
        <w:t xml:space="preserve">.</w:t>
      </w:r>
    </w:p>
    <w:p>
      <w:pPr>
        <w:pStyle w:val="FirstParagraph"/>
      </w:pPr>
      <w:r>
        <w:t xml:space="preserve">This appendix turns Chapter 11 into a working checklist. Councils can use it to decide whether a scheme needs closer enquiry under regulation 9(1)(l) of the Housing Benefit Regulations 2006, and to record the facts and judgment if it does. Providers can use it to check their own arrangements and to prepare the evidence that shows genuine independence. It has six parts:</w:t>
      </w:r>
    </w:p>
    <w:p>
      <w:pPr>
        <w:pStyle w:val="Compact"/>
        <w:numPr>
          <w:ilvl w:val="0"/>
          <w:numId w:val="1001"/>
        </w:numPr>
      </w:pPr>
      <w:r>
        <w:rPr>
          <w:b/>
          <w:bCs/>
        </w:rPr>
        <w:t xml:space="preserve">Part A:</w:t>
      </w:r>
      <w:r>
        <w:t xml:space="preserve"> </w:t>
      </w:r>
      <w:r>
        <w:t xml:space="preserve">questions to answer before contrivance</w:t>
      </w:r>
    </w:p>
    <w:p>
      <w:pPr>
        <w:pStyle w:val="Compact"/>
        <w:numPr>
          <w:ilvl w:val="0"/>
          <w:numId w:val="1001"/>
        </w:numPr>
      </w:pPr>
      <w:r>
        <w:rPr>
          <w:b/>
          <w:bCs/>
        </w:rPr>
        <w:t xml:space="preserve">Part B:</w:t>
      </w:r>
      <w:r>
        <w:t xml:space="preserve"> </w:t>
      </w:r>
      <w:r>
        <w:t xml:space="preserve">risk indicators</w:t>
      </w:r>
    </w:p>
    <w:p>
      <w:pPr>
        <w:pStyle w:val="Compact"/>
        <w:numPr>
          <w:ilvl w:val="0"/>
          <w:numId w:val="1001"/>
        </w:numPr>
      </w:pPr>
      <w:r>
        <w:rPr>
          <w:b/>
          <w:bCs/>
        </w:rPr>
        <w:t xml:space="preserve">Part C:</w:t>
      </w:r>
      <w:r>
        <w:t xml:space="preserve"> </w:t>
      </w:r>
      <w:r>
        <w:t xml:space="preserve">features of a genuine arrangement</w:t>
      </w:r>
    </w:p>
    <w:p>
      <w:pPr>
        <w:pStyle w:val="Compact"/>
        <w:numPr>
          <w:ilvl w:val="0"/>
          <w:numId w:val="1001"/>
        </w:numPr>
      </w:pPr>
      <w:r>
        <w:rPr>
          <w:b/>
          <w:bCs/>
        </w:rPr>
        <w:t xml:space="preserve">Part D:</w:t>
      </w:r>
      <w:r>
        <w:t xml:space="preserve"> </w:t>
      </w:r>
      <w:r>
        <w:t xml:space="preserve">what the indicators do not show</w:t>
      </w:r>
    </w:p>
    <w:p>
      <w:pPr>
        <w:pStyle w:val="Compact"/>
        <w:numPr>
          <w:ilvl w:val="0"/>
          <w:numId w:val="1001"/>
        </w:numPr>
      </w:pPr>
      <w:r>
        <w:rPr>
          <w:b/>
          <w:bCs/>
        </w:rPr>
        <w:t xml:space="preserve">Part E:</w:t>
      </w:r>
      <w:r>
        <w:t xml:space="preserve"> </w:t>
      </w:r>
      <w:r>
        <w:t xml:space="preserve">weighing the indicators and recording the decision</w:t>
      </w:r>
    </w:p>
    <w:p>
      <w:pPr>
        <w:pStyle w:val="Compact"/>
        <w:numPr>
          <w:ilvl w:val="0"/>
          <w:numId w:val="1001"/>
        </w:numPr>
      </w:pPr>
      <w:r>
        <w:rPr>
          <w:b/>
          <w:bCs/>
        </w:rPr>
        <w:t xml:space="preserve">Part F:</w:t>
      </w:r>
      <w:r>
        <w:t xml:space="preserve"> </w:t>
      </w:r>
      <w:r>
        <w:t xml:space="preserve">worked example, comparing two lease-based schemes</w:t>
      </w:r>
    </w:p>
    <w:p>
      <w:pPr>
        <w:pStyle w:val="FirstParagraph"/>
      </w:pPr>
      <w:r>
        <w:rPr>
          <w:b/>
          <w:bCs/>
        </w:rPr>
        <w:t xml:space="preserve">The law in brief.</w:t>
      </w:r>
    </w:p>
    <w:p>
      <w:pPr>
        <w:pStyle w:val="Compact"/>
        <w:numPr>
          <w:ilvl w:val="0"/>
          <w:numId w:val="1002"/>
        </w:numPr>
      </w:pPr>
      <w:r>
        <w:rPr>
          <w:b/>
          <w:bCs/>
        </w:rPr>
        <w:t xml:space="preserve">The test.</w:t>
      </w:r>
      <w:r>
        <w:t xml:space="preserve"> </w:t>
      </w:r>
      <w:r>
        <w:t xml:space="preserve">A claimant is treated as not liable for rent where the council "is satisfied that the liability was created to take advantage of the housing benefit scheme" (regulation 9(1)(l)). If it applies, the claim fails altogether (Chapter 11, 11.1).</w:t>
      </w:r>
    </w:p>
    <w:p>
      <w:pPr>
        <w:pStyle w:val="Compact"/>
        <w:numPr>
          <w:ilvl w:val="0"/>
          <w:numId w:val="1002"/>
        </w:numPr>
      </w:pPr>
      <w:r>
        <w:rPr>
          <w:b/>
          <w:bCs/>
        </w:rPr>
        <w:t xml:space="preserve">Abuse, not arrangement.</w:t>
      </w:r>
      <w:r>
        <w:t xml:space="preserve"> </w:t>
      </w:r>
      <w:r>
        <w:t xml:space="preserve">There must be "something in the nature of an abuse of the scheme". Arranging matters so that the exempt accommodation rules apply is not enough (</w:t>
      </w:r>
      <w:r>
        <w:rPr>
          <w:i/>
          <w:iCs/>
        </w:rPr>
        <w:t xml:space="preserve">Salford City Council v PF</w:t>
      </w:r>
      <w:r>
        <w:t xml:space="preserve"> </w:t>
      </w:r>
      <w:r>
        <w:t xml:space="preserve">[2009] UKUT 150 (AAC), para 53).</w:t>
      </w:r>
    </w:p>
    <w:p>
      <w:pPr>
        <w:pStyle w:val="Compact"/>
        <w:numPr>
          <w:ilvl w:val="0"/>
          <w:numId w:val="1002"/>
        </w:numPr>
      </w:pPr>
      <w:r>
        <w:rPr>
          <w:b/>
          <w:bCs/>
        </w:rPr>
        <w:t xml:space="preserve">Genuine need is not abuse.</w:t>
      </w:r>
      <w:r>
        <w:t xml:space="preserve"> </w:t>
      </w:r>
      <w:r>
        <w:t xml:space="preserve">Letting only to tenants with a genuine need for support, with a view to a higher eligible rent, "is not an abuse" (</w:t>
      </w:r>
      <w:r>
        <w:rPr>
          <w:i/>
          <w:iCs/>
        </w:rPr>
        <w:t xml:space="preserve">Salford</w:t>
      </w:r>
      <w:r>
        <w:t xml:space="preserve">, para 66).</w:t>
      </w:r>
    </w:p>
    <w:p>
      <w:pPr>
        <w:pStyle w:val="Compact"/>
        <w:numPr>
          <w:ilvl w:val="0"/>
          <w:numId w:val="1002"/>
        </w:numPr>
      </w:pPr>
      <w:r>
        <w:rPr>
          <w:b/>
          <w:bCs/>
        </w:rPr>
        <w:t xml:space="preserve">Facts, then judgment.</w:t>
      </w:r>
      <w:r>
        <w:t xml:space="preserve"> </w:t>
      </w:r>
      <w:r>
        <w:t xml:space="preserve">The decision-maker finds the facts, then makes an evaluative judgment on the arrangement as a whole, focused on the time the liability was created (</w:t>
      </w:r>
      <w:r>
        <w:rPr>
          <w:i/>
          <w:iCs/>
        </w:rPr>
        <w:t xml:space="preserve">FYE v Middlesbrough City Council and GPZ v Sunderland City Council</w:t>
      </w:r>
      <w:r>
        <w:t xml:space="preserve"> </w:t>
      </w:r>
      <w:r>
        <w:t xml:space="preserve">[2026] UKUT 157 (AAC), paras 16, 25 and 26).</w:t>
      </w:r>
    </w:p>
    <w:p>
      <w:pPr>
        <w:pStyle w:val="Compact"/>
        <w:numPr>
          <w:ilvl w:val="0"/>
          <w:numId w:val="1002"/>
        </w:numPr>
      </w:pPr>
      <w:r>
        <w:rPr>
          <w:b/>
          <w:bCs/>
        </w:rPr>
        <w:t xml:space="preserve">Profit is not essential.</w:t>
      </w:r>
      <w:r>
        <w:t xml:space="preserve"> </w:t>
      </w:r>
      <w:r>
        <w:t xml:space="preserve">"What matters is that public funds are spent unnecessarily or inappropriately" (</w:t>
      </w:r>
      <w:r>
        <w:rPr>
          <w:i/>
          <w:iCs/>
        </w:rPr>
        <w:t xml:space="preserve">FYE</w:t>
      </w:r>
      <w:r>
        <w:t xml:space="preserve">, para 42).</w:t>
      </w:r>
    </w:p>
    <w:p>
      <w:pPr>
        <w:pStyle w:val="Compact"/>
        <w:numPr>
          <w:ilvl w:val="0"/>
          <w:numId w:val="1002"/>
        </w:numPr>
      </w:pPr>
      <w:r>
        <w:rPr>
          <w:b/>
          <w:bCs/>
        </w:rPr>
        <w:t xml:space="preserve">Valid paperwork is not a defence.</w:t>
      </w:r>
      <w:r>
        <w:t xml:space="preserve"> </w:t>
      </w:r>
      <w:r>
        <w:t xml:space="preserve">The question is why a real liability was created (Chapter 11, 11.5).</w:t>
      </w:r>
    </w:p>
    <w:p>
      <w:pPr>
        <w:pStyle w:val="FirstParagraph"/>
      </w:pPr>
      <w:r>
        <w:rPr>
          <w:b/>
          <w:bCs/>
        </w:rPr>
        <w:t xml:space="preserve">SHP's position.</w:t>
      </w:r>
      <w:r>
        <w:t xml:space="preserve"> </w:t>
      </w:r>
      <w:r>
        <w:t xml:space="preserve">Contrivance is the right tool for the arrangements used by a significant number of often property and/or investor-led landlords to exploit supported housing, and the wrong tool for genuine providers whose schemes rely on Housing Benefit. The indicators below are reasons to ask questions, not findings. Most genuine schemes will show none of the high-weight indicators, and will be able to explain any others quickly with evidence (</w:t>
      </w:r>
      <w:hyperlink r:id="rId11">
        <w:r>
          <w:rPr>
            <w:rStyle w:val="Hyperlink"/>
          </w:rPr>
          <w:t xml:space="preserve">SHP, The End of the Property-Led Exempt Accommodation Contrivance?</w:t>
        </w:r>
      </w:hyperlink>
      <w:r>
        <w:t xml:space="preserve">).</w:t>
      </w:r>
    </w:p>
    <w:p>
      <w:pPr>
        <w:pStyle w:val="BodyText"/>
      </w:pPr>
      <w:r>
        <w:rPr>
          <w:b/>
          <w:bCs/>
        </w:rPr>
        <w:t xml:space="preserve">Using the checklist.</w:t>
      </w:r>
      <w:r>
        <w:t xml:space="preserve"> </w:t>
      </w:r>
      <w:r>
        <w:t xml:space="preserve">Councils should start with public sources and the scheme file (Chapter 13), and ask for further information only where an indicator is present and the information is "reasonably required" (regulation 86; Chapter 12; Appendix 9). Each indicator is given a weight: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1309"/>
        <w:gridCol w:w="8044"/>
      </w:tblGrid>
      <w:tr>
        <w:trPr>
          <w:tblHeader w:val="on"/>
          <w:cantSplit/>
          <w:tblHeader w:val="true"/>
        </w:trPr>
        <w:tc>
          <w:tcPr>
            <w:tcW w:type="dxa" w:w="1309"/>
            <w:shd w:val="clear" w:color="auto" w:fill="002F6D"/>
          </w:tcPr>
          <w:p>
            <w:pPr>
              <w:pStyle w:val="Compact"/>
            </w:pPr>
            <w:r>
              <w:rPr>
                <w:b/>
                <w:color w:val="FFFFFF"/>
              </w:rPr>
              <w:t xml:space="preserve">Weight</w:t>
            </w:r>
          </w:p>
        </w:tc>
        <w:tc>
          <w:tcPr>
            <w:tcW w:type="dxa" w:w="8044"/>
            <w:shd w:val="clear" w:color="auto" w:fill="002F6D"/>
          </w:tcPr>
          <w:p>
            <w:pPr>
              <w:pStyle w:val="Compact"/>
            </w:pPr>
            <w:r>
              <w:rPr>
                <w:b/>
                <w:color w:val="FFFFFF"/>
              </w:rPr>
              <w:t xml:space="preserve">Meaning</w:t>
            </w:r>
          </w:p>
        </w:tc>
      </w:tr>
      <w:tr>
        <w:trPr>
          <w:cantSplit/>
        </w:trPr>
        <w:tc>
          <w:tcPr>
            <w:tcW w:type="dxa" w:w="1309"/>
          </w:tcPr>
          <w:p>
            <w:pPr>
              <w:pStyle w:val="Compact"/>
            </w:pPr>
            <w:r>
              <w:t xml:space="preserve">High</w:t>
            </w:r>
          </w:p>
        </w:tc>
        <w:tc>
          <w:tcPr>
            <w:tcW w:type="dxa" w:w="8044"/>
          </w:tcPr>
          <w:p>
            <w:pPr>
              <w:pStyle w:val="Compact"/>
            </w:pPr>
            <w:r>
              <w:t xml:space="preserve">Goes to the heart of the arrangement. In</w:t>
            </w:r>
            <w:r>
              <w:t xml:space="preserve"> </w:t>
            </w:r>
            <w:r>
              <w:rPr>
                <w:i/>
                <w:iCs/>
              </w:rPr>
              <w:t xml:space="preserve">FYE</w:t>
            </w:r>
            <w:r>
              <w:t xml:space="preserve">, one such fact was enough on its own (First-tier Tribunal, para 114, accepted by the Upper Tribunal at para 59)</w:t>
            </w:r>
          </w:p>
        </w:tc>
      </w:tr>
      <w:tr>
        <w:trPr>
          <w:cantSplit/>
        </w:trPr>
        <w:tc>
          <w:tcPr>
            <w:tcW w:type="dxa" w:w="1309"/>
            <w:shd w:val="clear" w:color="auto" w:fill="E6ECF4"/>
          </w:tcPr>
          <w:p>
            <w:pPr>
              <w:pStyle w:val="Compact"/>
            </w:pPr>
            <w:r>
              <w:t xml:space="preserve">Medium</w:t>
            </w:r>
          </w:p>
        </w:tc>
        <w:tc>
          <w:tcPr>
            <w:tcW w:type="dxa" w:w="8044"/>
            <w:shd w:val="clear" w:color="auto" w:fill="E6ECF4"/>
          </w:tcPr>
          <w:p>
            <w:pPr>
              <w:pStyle w:val="Compact"/>
            </w:pPr>
            <w:r>
              <w:t xml:space="preserve">Significant, especially in combination with other indicators</w:t>
            </w:r>
          </w:p>
        </w:tc>
      </w:tr>
      <w:tr>
        <w:trPr>
          <w:cantSplit/>
        </w:trPr>
        <w:tc>
          <w:tcPr>
            <w:tcW w:type="dxa" w:w="1309"/>
          </w:tcPr>
          <w:p>
            <w:pPr>
              <w:pStyle w:val="Compact"/>
            </w:pPr>
            <w:r>
              <w:t xml:space="preserve">Low</w:t>
            </w:r>
          </w:p>
        </w:tc>
        <w:tc>
          <w:tcPr>
            <w:tcW w:type="dxa" w:w="8044"/>
          </w:tcPr>
          <w:p>
            <w:pPr>
              <w:pStyle w:val="Compact"/>
            </w:pPr>
            <w:r>
              <w:t xml:space="preserve">Common in genuine schemes; relevant only alongside other indicators</w:t>
            </w:r>
          </w:p>
        </w:tc>
      </w:tr>
    </w:tbl>
    <w:bookmarkStart w:id="12" w:name="X109da2ef604279a55537826219521c7928803f2"/>
    <w:p>
      <w:pPr>
        <w:pStyle w:val="Heading2"/>
        <w:pBdr>
          <w:bottom w:val="single" w:sz="12" w:space="4" w:color="FF9202"/>
        </w:pBdr>
      </w:pPr>
      <w:r>
        <w:t xml:space="preserve">Part A: Questions to answer before contrivance</w:t>
      </w:r>
    </w:p>
    <w:p>
      <w:pPr>
        <w:pStyle w:val="FirstParagraph"/>
      </w:pPr>
      <w:r>
        <w:t xml:space="preserve">Contrivance applies only where none of the other parts of regulation 9(1) do, and it is the most serious finding a council can make on a claim. Other questions often deal with the concern more directly and should be answered first (Chapter 10, 10.11; Chapter 11, 11.3).</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7202"/>
        <w:gridCol w:w="1403"/>
      </w:tblGrid>
      <w:tr>
        <w:trPr>
          <w:tblHeader w:val="on"/>
          <w:cantSplit/>
          <w:tblHeader w:val="true"/>
        </w:trPr>
        <w:tc>
          <w:tcPr>
            <w:tcW w:type="dxa" w:w="748"/>
            <w:shd w:val="clear" w:color="auto" w:fill="002F6D"/>
          </w:tcPr>
          <w:p>
            <w:pPr>
              <w:pStyle w:val="Compact"/>
            </w:pPr>
            <w:r>
              <w:rPr>
                <w:b/>
                <w:color w:val="FFFFFF"/>
              </w:rPr>
              <w:t xml:space="preserve">No.</w:t>
            </w:r>
          </w:p>
        </w:tc>
        <w:tc>
          <w:tcPr>
            <w:tcW w:type="dxa" w:w="7202"/>
            <w:shd w:val="clear" w:color="auto" w:fill="002F6D"/>
          </w:tcPr>
          <w:p>
            <w:pPr>
              <w:pStyle w:val="Compact"/>
            </w:pPr>
            <w:r>
              <w:rPr>
                <w:b/>
                <w:color w:val="FFFFFF"/>
              </w:rPr>
              <w:t xml:space="preserve">Question</w:t>
            </w:r>
          </w:p>
        </w:tc>
        <w:tc>
          <w:tcPr>
            <w:tcW w:type="dxa" w:w="1403"/>
            <w:shd w:val="clear" w:color="auto" w:fill="002F6D"/>
          </w:tcPr>
          <w:p>
            <w:pPr>
              <w:pStyle w:val="Compact"/>
            </w:pPr>
            <w:r>
              <w:rPr>
                <w:b/>
                <w:color w:val="FFFFFF"/>
              </w:rPr>
              <w:t xml:space="preserve">Chapter</w:t>
            </w:r>
          </w:p>
        </w:tc>
      </w:tr>
      <w:tr>
        <w:trPr>
          <w:cantSplit/>
        </w:trPr>
        <w:tc>
          <w:tcPr>
            <w:tcW w:type="dxa" w:w="748"/>
          </w:tcPr>
          <w:p>
            <w:pPr>
              <w:pStyle w:val="Compact"/>
            </w:pPr>
            <w:r>
              <w:t xml:space="preserve">1</w:t>
            </w:r>
          </w:p>
        </w:tc>
        <w:tc>
          <w:tcPr>
            <w:tcW w:type="dxa" w:w="7202"/>
          </w:tcPr>
          <w:p>
            <w:pPr>
              <w:pStyle w:val="Compact"/>
            </w:pPr>
            <w:r>
              <w:t xml:space="preserve">Is the landlord a qualifying body, such as a housing association, registered charity or voluntary organisation?</w:t>
            </w:r>
          </w:p>
        </w:tc>
        <w:tc>
          <w:tcPr>
            <w:tcW w:type="dxa" w:w="1403"/>
          </w:tcPr>
          <w:p>
            <w:pPr>
              <w:pStyle w:val="Compact"/>
            </w:pPr>
            <w:r>
              <w:t xml:space="preserve">5</w:t>
            </w:r>
          </w:p>
        </w:tc>
      </w:tr>
      <w:tr>
        <w:trPr>
          <w:cantSplit/>
        </w:trPr>
        <w:tc>
          <w:tcPr>
            <w:tcW w:type="dxa" w:w="748"/>
            <w:shd w:val="clear" w:color="auto" w:fill="E6ECF4"/>
          </w:tcPr>
          <w:p>
            <w:pPr>
              <w:pStyle w:val="Compact"/>
            </w:pPr>
            <w:r>
              <w:t xml:space="preserve">2</w:t>
            </w:r>
          </w:p>
        </w:tc>
        <w:tc>
          <w:tcPr>
            <w:tcW w:type="dxa" w:w="7202"/>
            <w:shd w:val="clear" w:color="auto" w:fill="E6ECF4"/>
          </w:tcPr>
          <w:p>
            <w:pPr>
              <w:pStyle w:val="Compact"/>
            </w:pPr>
            <w:r>
              <w:t xml:space="preserve">Is the landlord really the landlord, or a managing agent for a profit-making owner? (DWP guidance, para 132)</w:t>
            </w:r>
          </w:p>
        </w:tc>
        <w:tc>
          <w:tcPr>
            <w:tcW w:type="dxa" w:w="1403"/>
            <w:shd w:val="clear" w:color="auto" w:fill="E6ECF4"/>
          </w:tcPr>
          <w:p>
            <w:pPr>
              <w:pStyle w:val="Compact"/>
            </w:pPr>
            <w:r>
              <w:t xml:space="preserve">5</w:t>
            </w:r>
          </w:p>
        </w:tc>
      </w:tr>
      <w:tr>
        <w:trPr>
          <w:cantSplit/>
        </w:trPr>
        <w:tc>
          <w:tcPr>
            <w:tcW w:type="dxa" w:w="748"/>
          </w:tcPr>
          <w:p>
            <w:pPr>
              <w:pStyle w:val="Compact"/>
            </w:pPr>
            <w:r>
              <w:t xml:space="preserve">3</w:t>
            </w:r>
          </w:p>
        </w:tc>
        <w:tc>
          <w:tcPr>
            <w:tcW w:type="dxa" w:w="7202"/>
          </w:tcPr>
          <w:p>
            <w:pPr>
              <w:pStyle w:val="Compact"/>
            </w:pPr>
            <w:r>
              <w:t xml:space="preserve">Does the landlord, or someone on its behalf, provide care, support or supervision that is more than minimal?</w:t>
            </w:r>
          </w:p>
        </w:tc>
        <w:tc>
          <w:tcPr>
            <w:tcW w:type="dxa" w:w="1403"/>
          </w:tcPr>
          <w:p>
            <w:pPr>
              <w:pStyle w:val="Compact"/>
            </w:pPr>
            <w:r>
              <w:t xml:space="preserve">6 to 8</w:t>
            </w:r>
          </w:p>
        </w:tc>
      </w:tr>
      <w:tr>
        <w:trPr>
          <w:cantSplit/>
        </w:trPr>
        <w:tc>
          <w:tcPr>
            <w:tcW w:type="dxa" w:w="748"/>
            <w:shd w:val="clear" w:color="auto" w:fill="E6ECF4"/>
          </w:tcPr>
          <w:p>
            <w:pPr>
              <w:pStyle w:val="Compact"/>
            </w:pPr>
            <w:r>
              <w:t xml:space="preserve">4</w:t>
            </w:r>
          </w:p>
        </w:tc>
        <w:tc>
          <w:tcPr>
            <w:tcW w:type="dxa" w:w="7202"/>
            <w:shd w:val="clear" w:color="auto" w:fill="E6ECF4"/>
          </w:tcPr>
          <w:p>
            <w:pPr>
              <w:pStyle w:val="Compact"/>
            </w:pPr>
            <w:r>
              <w:t xml:space="preserve">Are the service charges eligible?</w:t>
            </w:r>
          </w:p>
        </w:tc>
        <w:tc>
          <w:tcPr>
            <w:tcW w:type="dxa" w:w="1403"/>
            <w:shd w:val="clear" w:color="auto" w:fill="E6ECF4"/>
          </w:tcPr>
          <w:p>
            <w:pPr>
              <w:pStyle w:val="Compact"/>
            </w:pPr>
            <w:r>
              <w:t xml:space="preserve">9</w:t>
            </w:r>
          </w:p>
        </w:tc>
      </w:tr>
      <w:tr>
        <w:trPr>
          <w:cantSplit/>
        </w:trPr>
        <w:tc>
          <w:tcPr>
            <w:tcW w:type="dxa" w:w="748"/>
          </w:tcPr>
          <w:p>
            <w:pPr>
              <w:pStyle w:val="Compact"/>
            </w:pPr>
            <w:r>
              <w:t xml:space="preserve">5</w:t>
            </w:r>
          </w:p>
        </w:tc>
        <w:tc>
          <w:tcPr>
            <w:tcW w:type="dxa" w:w="7202"/>
          </w:tcPr>
          <w:p>
            <w:pPr>
              <w:pStyle w:val="Compact"/>
            </w:pPr>
            <w:r>
              <w:t xml:space="preserve">Is the rent reasonable, or should it be restricted?</w:t>
            </w:r>
          </w:p>
        </w:tc>
        <w:tc>
          <w:tcPr>
            <w:tcW w:type="dxa" w:w="1403"/>
          </w:tcPr>
          <w:p>
            <w:pPr>
              <w:pStyle w:val="Compact"/>
            </w:pPr>
            <w:r>
              <w:t xml:space="preserve">10</w:t>
            </w:r>
          </w:p>
        </w:tc>
      </w:tr>
      <w:tr>
        <w:trPr>
          <w:cantSplit/>
        </w:trPr>
        <w:tc>
          <w:tcPr>
            <w:tcW w:type="dxa" w:w="748"/>
            <w:shd w:val="clear" w:color="auto" w:fill="E6ECF4"/>
          </w:tcPr>
          <w:p>
            <w:pPr>
              <w:pStyle w:val="Compact"/>
            </w:pPr>
            <w:r>
              <w:t xml:space="preserve">6</w:t>
            </w:r>
          </w:p>
        </w:tc>
        <w:tc>
          <w:tcPr>
            <w:tcW w:type="dxa" w:w="7202"/>
            <w:shd w:val="clear" w:color="auto" w:fill="E6ECF4"/>
          </w:tcPr>
          <w:p>
            <w:pPr>
              <w:pStyle w:val="Compact"/>
            </w:pPr>
            <w:r>
              <w:t xml:space="preserve">Only then: was the liability created to take advantage of the scheme?</w:t>
            </w:r>
          </w:p>
        </w:tc>
        <w:tc>
          <w:tcPr>
            <w:tcW w:type="dxa" w:w="1403"/>
            <w:shd w:val="clear" w:color="auto" w:fill="E6ECF4"/>
          </w:tcPr>
          <w:p>
            <w:pPr>
              <w:pStyle w:val="Compact"/>
            </w:pPr>
            <w:r>
              <w:t xml:space="preserve">11</w:t>
            </w:r>
          </w:p>
        </w:tc>
      </w:tr>
    </w:tbl>
    <w:p>
      <w:pPr>
        <w:pStyle w:val="BodyText"/>
      </w:pPr>
      <w:r>
        <w:t xml:space="preserve">The steps are not watertight. In</w:t>
      </w:r>
      <w:r>
        <w:t xml:space="preserve"> </w:t>
      </w:r>
      <w:r>
        <w:rPr>
          <w:i/>
          <w:iCs/>
        </w:rPr>
        <w:t xml:space="preserve">FYE</w:t>
      </w:r>
      <w:r>
        <w:t xml:space="preserve">, contrivance was decisive and the support issue did not need deciding (paras 4 and 59). But a council that goes straight to contrivance without considering steps 1 to 5 risks using the wrong tool.</w:t>
      </w:r>
    </w:p>
    <w:bookmarkEnd w:id="12"/>
    <w:bookmarkStart w:id="13" w:name="part-b-risk-indicators"/>
    <w:p>
      <w:pPr>
        <w:pStyle w:val="Heading2"/>
        <w:pageBreakBefore/>
        <w:pBdr>
          <w:bottom w:val="single" w:sz="12" w:space="4" w:color="FF9202"/>
        </w:pBdr>
      </w:pPr>
      <w:r>
        <w:t xml:space="preserve">Part B: Risk indicators</w:t>
      </w:r>
    </w:p>
    <w:p>
      <w:pPr>
        <w:pStyle w:val="FirstParagraph"/>
      </w:pPr>
      <w:r>
        <w:t xml:space="preserve">Record a finding against each indicator:</w:t>
      </w:r>
      <w:r>
        <w:t xml:space="preserve"> </w:t>
      </w:r>
      <w:r>
        <w:rPr>
          <w:b/>
          <w:bCs/>
        </w:rPr>
        <w:t xml:space="preserve">N</w:t>
      </w:r>
      <w:r>
        <w:t xml:space="preserve"> </w:t>
      </w:r>
      <w:r>
        <w:t xml:space="preserve">(not present),</w:t>
      </w:r>
      <w:r>
        <w:t xml:space="preserve"> </w:t>
      </w:r>
      <w:r>
        <w:rPr>
          <w:b/>
          <w:bCs/>
        </w:rPr>
        <w:t xml:space="preserve">E</w:t>
      </w:r>
      <w:r>
        <w:t xml:space="preserve"> </w:t>
      </w:r>
      <w:r>
        <w:t xml:space="preserve">(present, explained by evidence) or</w:t>
      </w:r>
      <w:r>
        <w:t xml:space="preserve"> </w:t>
      </w:r>
      <w:r>
        <w:rPr>
          <w:b/>
          <w:bCs/>
        </w:rPr>
        <w:t xml:space="preserve">C</w:t>
      </w:r>
      <w:r>
        <w:t xml:space="preserve"> </w:t>
      </w:r>
      <w:r>
        <w:t xml:space="preserve">(present, concern remains).</w:t>
      </w:r>
    </w:p>
    <w:p>
      <w:pPr>
        <w:pStyle w:val="BodyText"/>
      </w:pPr>
      <w:r>
        <w:rPr>
          <w:b/>
          <w:bCs/>
        </w:rPr>
        <w:t xml:space="preserve">B1. Financial model and funding of support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367"/>
        <w:gridCol w:w="1964"/>
        <w:gridCol w:w="2244"/>
        <w:gridCol w:w="1028"/>
      </w:tblGrid>
      <w:tr>
        <w:trPr>
          <w:tblHeader w:val="on"/>
          <w:cantSplit/>
          <w:tblHeader w:val="true"/>
        </w:trPr>
        <w:tc>
          <w:tcPr>
            <w:tcW w:type="dxa" w:w="748"/>
            <w:shd w:val="clear" w:color="auto" w:fill="002F6D"/>
          </w:tcPr>
          <w:p>
            <w:pPr>
              <w:pStyle w:val="Compact"/>
            </w:pPr>
            <w:r>
              <w:rPr>
                <w:b/>
                <w:color w:val="FFFFFF"/>
              </w:rPr>
              <w:t xml:space="preserve">Code</w:t>
            </w:r>
          </w:p>
        </w:tc>
        <w:tc>
          <w:tcPr>
            <w:tcW w:type="dxa" w:w="3367"/>
            <w:shd w:val="clear" w:color="auto" w:fill="002F6D"/>
          </w:tcPr>
          <w:p>
            <w:pPr>
              <w:pStyle w:val="Compact"/>
            </w:pPr>
            <w:r>
              <w:rPr>
                <w:b/>
                <w:color w:val="FFFFFF"/>
              </w:rPr>
              <w:t xml:space="preserve">Indicator</w:t>
            </w:r>
          </w:p>
        </w:tc>
        <w:tc>
          <w:tcPr>
            <w:tcW w:type="dxa" w:w="1964"/>
            <w:shd w:val="clear" w:color="auto" w:fill="002F6D"/>
          </w:tcPr>
          <w:p>
            <w:pPr>
              <w:pStyle w:val="Compact"/>
            </w:pPr>
            <w:r>
              <w:rPr>
                <w:b/>
                <w:color w:val="FFFFFF"/>
              </w:rPr>
              <w:t xml:space="preserve">Weight and source</w:t>
            </w:r>
          </w:p>
        </w:tc>
        <w:tc>
          <w:tcPr>
            <w:tcW w:type="dxa" w:w="2244"/>
            <w:shd w:val="clear" w:color="auto" w:fill="002F6D"/>
          </w:tcPr>
          <w:p>
            <w:pPr>
              <w:pStyle w:val="Compact"/>
            </w:pPr>
            <w:r>
              <w:rPr>
                <w:b/>
                <w:color w:val="FFFFFF"/>
              </w:rPr>
              <w:t xml:space="preserve">Evidence to check</w:t>
            </w:r>
          </w:p>
        </w:tc>
        <w:tc>
          <w:tcPr>
            <w:tcW w:type="dxa" w:w="1028"/>
            <w:shd w:val="clear" w:color="auto" w:fill="002F6D"/>
          </w:tcPr>
          <w:p>
            <w:pPr>
              <w:pStyle w:val="Compact"/>
            </w:pPr>
            <w:r>
              <w:rPr>
                <w:b/>
                <w:color w:val="FFFFFF"/>
              </w:rPr>
              <w:t xml:space="preserve">Finding</w:t>
            </w:r>
          </w:p>
        </w:tc>
      </w:tr>
      <w:tr>
        <w:trPr>
          <w:cantSplit/>
        </w:trPr>
        <w:tc>
          <w:tcPr>
            <w:tcW w:type="dxa" w:w="748"/>
          </w:tcPr>
          <w:p>
            <w:pPr>
              <w:pStyle w:val="Compact"/>
            </w:pPr>
            <w:r>
              <w:t xml:space="preserve">B1.1</w:t>
            </w:r>
          </w:p>
        </w:tc>
        <w:tc>
          <w:tcPr>
            <w:tcW w:type="dxa" w:w="3367"/>
          </w:tcPr>
          <w:p>
            <w:pPr>
              <w:pStyle w:val="Compact"/>
            </w:pPr>
            <w:r>
              <w:t xml:space="preserve">The provider has no source of income for support other than payments from the property owner or a connected company</w:t>
            </w:r>
          </w:p>
        </w:tc>
        <w:tc>
          <w:tcPr>
            <w:tcW w:type="dxa" w:w="1964"/>
          </w:tcPr>
          <w:p>
            <w:pPr>
              <w:pStyle w:val="Compact"/>
            </w:pPr>
            <w:r>
              <w:t xml:space="preserve">High.</w:t>
            </w:r>
            <w:r>
              <w:t xml:space="preserve"> </w:t>
            </w:r>
            <w:r>
              <w:rPr>
                <w:i/>
                <w:iCs/>
              </w:rPr>
              <w:t xml:space="preserve">FYE</w:t>
            </w:r>
            <w:r>
              <w:t xml:space="preserve">, First-tier Tribunal paras 113 and 114</w:t>
            </w:r>
          </w:p>
        </w:tc>
        <w:tc>
          <w:tcPr>
            <w:tcW w:type="dxa" w:w="2244"/>
          </w:tcPr>
          <w:p>
            <w:pPr>
              <w:pStyle w:val="Compact"/>
            </w:pPr>
            <w:r>
              <w:t xml:space="preserve">Accounts; funding statement; support contracts</w:t>
            </w:r>
          </w:p>
        </w:tc>
        <w:tc>
          <w:tcPr>
            <w:tcW w:type="dxa" w:w="1028"/>
          </w:tcPr>
          <w:p>
            <w:pPr>
              <w:pStyle w:val="Compact"/>
            </w:pPr>
          </w:p>
        </w:tc>
      </w:tr>
      <w:tr>
        <w:trPr>
          <w:cantSplit/>
        </w:trPr>
        <w:tc>
          <w:tcPr>
            <w:tcW w:type="dxa" w:w="748"/>
            <w:shd w:val="clear" w:color="auto" w:fill="E6ECF4"/>
          </w:tcPr>
          <w:p>
            <w:pPr>
              <w:pStyle w:val="Compact"/>
            </w:pPr>
            <w:r>
              <w:t xml:space="preserve">B1.2</w:t>
            </w:r>
          </w:p>
        </w:tc>
        <w:tc>
          <w:tcPr>
            <w:tcW w:type="dxa" w:w="3367"/>
            <w:shd w:val="clear" w:color="auto" w:fill="E6ECF4"/>
          </w:tcPr>
          <w:p>
            <w:pPr>
              <w:pStyle w:val="Compact"/>
            </w:pPr>
            <w:r>
              <w:t xml:space="preserve">The model must keep growing, for example by taking on more properties, to stay solvent</w:t>
            </w:r>
          </w:p>
        </w:tc>
        <w:tc>
          <w:tcPr>
            <w:tcW w:type="dxa" w:w="1964"/>
            <w:shd w:val="clear" w:color="auto" w:fill="E6ECF4"/>
          </w:tcPr>
          <w:p>
            <w:pPr>
              <w:pStyle w:val="Compact"/>
            </w:pPr>
            <w:r>
              <w:t xml:space="preserve">High.</w:t>
            </w:r>
            <w:r>
              <w:t xml:space="preserve"> </w:t>
            </w:r>
            <w:r>
              <w:rPr>
                <w:i/>
                <w:iCs/>
              </w:rPr>
              <w:t xml:space="preserve">FYE</w:t>
            </w:r>
            <w:r>
              <w:t xml:space="preserve">, First-tier Tribunal para 114</w:t>
            </w:r>
          </w:p>
        </w:tc>
        <w:tc>
          <w:tcPr>
            <w:tcW w:type="dxa" w:w="2244"/>
            <w:shd w:val="clear" w:color="auto" w:fill="E6ECF4"/>
          </w:tcPr>
          <w:p>
            <w:pPr>
              <w:pStyle w:val="Compact"/>
            </w:pPr>
            <w:r>
              <w:t xml:space="preserve">Accounts; cash flow; business plan</w:t>
            </w:r>
          </w:p>
        </w:tc>
        <w:tc>
          <w:tcPr>
            <w:tcW w:type="dxa" w:w="1028"/>
            <w:shd w:val="clear" w:color="auto" w:fill="E6ECF4"/>
          </w:tcPr>
          <w:p>
            <w:pPr>
              <w:pStyle w:val="Compact"/>
            </w:pPr>
          </w:p>
        </w:tc>
      </w:tr>
      <w:tr>
        <w:trPr>
          <w:cantSplit/>
        </w:trPr>
        <w:tc>
          <w:tcPr>
            <w:tcW w:type="dxa" w:w="748"/>
          </w:tcPr>
          <w:p>
            <w:pPr>
              <w:pStyle w:val="Compact"/>
            </w:pPr>
            <w:r>
              <w:t xml:space="preserve">B1.3</w:t>
            </w:r>
          </w:p>
        </w:tc>
        <w:tc>
          <w:tcPr>
            <w:tcW w:type="dxa" w:w="3367"/>
          </w:tcPr>
          <w:p>
            <w:pPr>
              <w:pStyle w:val="Compact"/>
            </w:pPr>
            <w:r>
              <w:t xml:space="preserve">The provider depends on loans or "donations" from the landlord, developer or connected parties</w:t>
            </w:r>
          </w:p>
        </w:tc>
        <w:tc>
          <w:tcPr>
            <w:tcW w:type="dxa" w:w="1964"/>
          </w:tcPr>
          <w:p>
            <w:pPr>
              <w:pStyle w:val="Compact"/>
            </w:pPr>
            <w:r>
              <w:t xml:space="preserve">High.</w:t>
            </w:r>
            <w:r>
              <w:t xml:space="preserve"> </w:t>
            </w:r>
            <w:r>
              <w:rPr>
                <w:i/>
                <w:iCs/>
              </w:rPr>
              <w:t xml:space="preserve">FYE</w:t>
            </w:r>
            <w:r>
              <w:t xml:space="preserve">, para 15(c) and (d)</w:t>
            </w:r>
          </w:p>
        </w:tc>
        <w:tc>
          <w:tcPr>
            <w:tcW w:type="dxa" w:w="2244"/>
          </w:tcPr>
          <w:p>
            <w:pPr>
              <w:pStyle w:val="Compact"/>
            </w:pPr>
            <w:r>
              <w:t xml:space="preserve">Accounts, related party notes; loan agreements</w:t>
            </w:r>
          </w:p>
        </w:tc>
        <w:tc>
          <w:tcPr>
            <w:tcW w:type="dxa" w:w="1028"/>
          </w:tcPr>
          <w:p>
            <w:pPr>
              <w:pStyle w:val="Compact"/>
            </w:pPr>
          </w:p>
        </w:tc>
      </w:tr>
      <w:tr>
        <w:trPr>
          <w:cantSplit/>
        </w:trPr>
        <w:tc>
          <w:tcPr>
            <w:tcW w:type="dxa" w:w="748"/>
            <w:shd w:val="clear" w:color="auto" w:fill="E6ECF4"/>
          </w:tcPr>
          <w:p>
            <w:pPr>
              <w:pStyle w:val="Compact"/>
            </w:pPr>
            <w:r>
              <w:t xml:space="preserve">B1.4</w:t>
            </w:r>
          </w:p>
        </w:tc>
        <w:tc>
          <w:tcPr>
            <w:tcW w:type="dxa" w:w="3367"/>
            <w:shd w:val="clear" w:color="auto" w:fill="E6ECF4"/>
          </w:tcPr>
          <w:p>
            <w:pPr>
              <w:pStyle w:val="Compact"/>
            </w:pPr>
            <w:r>
              <w:t xml:space="preserve">Money paid out under the head lease comes back to the provider to fund support, so that support may be paid for twice</w:t>
            </w:r>
          </w:p>
        </w:tc>
        <w:tc>
          <w:tcPr>
            <w:tcW w:type="dxa" w:w="1964"/>
            <w:shd w:val="clear" w:color="auto" w:fill="E6ECF4"/>
          </w:tcPr>
          <w:p>
            <w:pPr>
              <w:pStyle w:val="Compact"/>
            </w:pPr>
            <w:r>
              <w:t xml:space="preserve">High.</w:t>
            </w:r>
            <w:r>
              <w:t xml:space="preserve"> </w:t>
            </w:r>
            <w:r>
              <w:rPr>
                <w:i/>
                <w:iCs/>
              </w:rPr>
              <w:t xml:space="preserve">Salford</w:t>
            </w:r>
            <w:r>
              <w:t xml:space="preserve">, para 96;</w:t>
            </w:r>
            <w:r>
              <w:t xml:space="preserve"> </w:t>
            </w:r>
            <w:r>
              <w:rPr>
                <w:i/>
                <w:iCs/>
              </w:rPr>
              <w:t xml:space="preserve">FYE</w:t>
            </w:r>
            <w:r>
              <w:t xml:space="preserve">, para 15(d)</w:t>
            </w:r>
          </w:p>
        </w:tc>
        <w:tc>
          <w:tcPr>
            <w:tcW w:type="dxa" w:w="2244"/>
            <w:shd w:val="clear" w:color="auto" w:fill="E6ECF4"/>
          </w:tcPr>
          <w:p>
            <w:pPr>
              <w:pStyle w:val="Compact"/>
            </w:pPr>
            <w:r>
              <w:t xml:space="preserve">Accounts; head lease; donation or grant agreements</w:t>
            </w:r>
          </w:p>
        </w:tc>
        <w:tc>
          <w:tcPr>
            <w:tcW w:type="dxa" w:w="1028"/>
            <w:shd w:val="clear" w:color="auto" w:fill="E6ECF4"/>
          </w:tcPr>
          <w:p>
            <w:pPr>
              <w:pStyle w:val="Compact"/>
            </w:pPr>
          </w:p>
        </w:tc>
      </w:tr>
      <w:tr>
        <w:trPr>
          <w:cantSplit/>
        </w:trPr>
        <w:tc>
          <w:tcPr>
            <w:tcW w:type="dxa" w:w="748"/>
          </w:tcPr>
          <w:p>
            <w:pPr>
              <w:pStyle w:val="Compact"/>
            </w:pPr>
            <w:r>
              <w:t xml:space="preserve">B1.5</w:t>
            </w:r>
          </w:p>
        </w:tc>
        <w:tc>
          <w:tcPr>
            <w:tcW w:type="dxa" w:w="3367"/>
          </w:tcPr>
          <w:p>
            <w:pPr>
              <w:pStyle w:val="Compact"/>
            </w:pPr>
            <w:r>
              <w:t xml:space="preserve">The provider cannot explain how support that is not eligible for Housing Benefit is funded</w:t>
            </w:r>
          </w:p>
        </w:tc>
        <w:tc>
          <w:tcPr>
            <w:tcW w:type="dxa" w:w="1964"/>
          </w:tcPr>
          <w:p>
            <w:pPr>
              <w:pStyle w:val="Compact"/>
            </w:pPr>
            <w:r>
              <w:t xml:space="preserve">Medium. SHP blog (above)</w:t>
            </w:r>
          </w:p>
        </w:tc>
        <w:tc>
          <w:tcPr>
            <w:tcW w:type="dxa" w:w="2244"/>
          </w:tcPr>
          <w:p>
            <w:pPr>
              <w:pStyle w:val="Compact"/>
            </w:pPr>
            <w:r>
              <w:t xml:space="preserve">Funding statement</w:t>
            </w:r>
          </w:p>
        </w:tc>
        <w:tc>
          <w:tcPr>
            <w:tcW w:type="dxa" w:w="1028"/>
          </w:tcPr>
          <w:p>
            <w:pPr>
              <w:pStyle w:val="Compact"/>
            </w:pPr>
          </w:p>
        </w:tc>
      </w:tr>
      <w:tr>
        <w:trPr>
          <w:cantSplit/>
        </w:trPr>
        <w:tc>
          <w:tcPr>
            <w:tcW w:type="dxa" w:w="748"/>
            <w:shd w:val="clear" w:color="auto" w:fill="E6ECF4"/>
          </w:tcPr>
          <w:p>
            <w:pPr>
              <w:pStyle w:val="Compact"/>
            </w:pPr>
            <w:r>
              <w:t xml:space="preserve">B1.6</w:t>
            </w:r>
          </w:p>
        </w:tc>
        <w:tc>
          <w:tcPr>
            <w:tcW w:type="dxa" w:w="3367"/>
            <w:shd w:val="clear" w:color="auto" w:fill="E6ECF4"/>
          </w:tcPr>
          <w:p>
            <w:pPr>
              <w:pStyle w:val="Compact"/>
            </w:pPr>
            <w:r>
              <w:t xml:space="preserve">The scheme would not be viable if the eligible rent were reduced to a reasonable level</w:t>
            </w:r>
          </w:p>
        </w:tc>
        <w:tc>
          <w:tcPr>
            <w:tcW w:type="dxa" w:w="1964"/>
            <w:shd w:val="clear" w:color="auto" w:fill="E6ECF4"/>
          </w:tcPr>
          <w:p>
            <w:pPr>
              <w:pStyle w:val="Compact"/>
            </w:pPr>
            <w:r>
              <w:t xml:space="preserve">Medium. SHP blog (above)</w:t>
            </w:r>
          </w:p>
        </w:tc>
        <w:tc>
          <w:tcPr>
            <w:tcW w:type="dxa" w:w="2244"/>
            <w:shd w:val="clear" w:color="auto" w:fill="E6ECF4"/>
          </w:tcPr>
          <w:p>
            <w:pPr>
              <w:pStyle w:val="Compact"/>
            </w:pPr>
            <w:r>
              <w:t xml:space="preserve">Rent build-up; accounts</w:t>
            </w:r>
          </w:p>
        </w:tc>
        <w:tc>
          <w:tcPr>
            <w:tcW w:type="dxa" w:w="1028"/>
            <w:shd w:val="clear" w:color="auto" w:fill="E6ECF4"/>
          </w:tcPr>
          <w:p>
            <w:pPr>
              <w:pStyle w:val="Compact"/>
            </w:pPr>
          </w:p>
        </w:tc>
      </w:tr>
    </w:tbl>
    <w:p>
      <w:pPr>
        <w:pStyle w:val="BodyText"/>
      </w:pPr>
      <w:r>
        <w:rPr>
          <w:b/>
          <w:bCs/>
        </w:rPr>
        <w:t xml:space="preserve">B2. Rent setting</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367"/>
        <w:gridCol w:w="1964"/>
        <w:gridCol w:w="2244"/>
        <w:gridCol w:w="1028"/>
      </w:tblGrid>
      <w:tr>
        <w:trPr>
          <w:tblHeader w:val="on"/>
          <w:cantSplit/>
          <w:tblHeader w:val="true"/>
        </w:trPr>
        <w:tc>
          <w:tcPr>
            <w:tcW w:type="dxa" w:w="748"/>
            <w:shd w:val="clear" w:color="auto" w:fill="002F6D"/>
          </w:tcPr>
          <w:p>
            <w:pPr>
              <w:pStyle w:val="Compact"/>
            </w:pPr>
            <w:r>
              <w:rPr>
                <w:b/>
                <w:color w:val="FFFFFF"/>
              </w:rPr>
              <w:t xml:space="preserve">Code</w:t>
            </w:r>
          </w:p>
        </w:tc>
        <w:tc>
          <w:tcPr>
            <w:tcW w:type="dxa" w:w="3367"/>
            <w:shd w:val="clear" w:color="auto" w:fill="002F6D"/>
          </w:tcPr>
          <w:p>
            <w:pPr>
              <w:pStyle w:val="Compact"/>
            </w:pPr>
            <w:r>
              <w:rPr>
                <w:b/>
                <w:color w:val="FFFFFF"/>
              </w:rPr>
              <w:t xml:space="preserve">Indicator</w:t>
            </w:r>
          </w:p>
        </w:tc>
        <w:tc>
          <w:tcPr>
            <w:tcW w:type="dxa" w:w="1964"/>
            <w:shd w:val="clear" w:color="auto" w:fill="002F6D"/>
          </w:tcPr>
          <w:p>
            <w:pPr>
              <w:pStyle w:val="Compact"/>
            </w:pPr>
            <w:r>
              <w:rPr>
                <w:b/>
                <w:color w:val="FFFFFF"/>
              </w:rPr>
              <w:t xml:space="preserve">Weight and source</w:t>
            </w:r>
          </w:p>
        </w:tc>
        <w:tc>
          <w:tcPr>
            <w:tcW w:type="dxa" w:w="2244"/>
            <w:shd w:val="clear" w:color="auto" w:fill="002F6D"/>
          </w:tcPr>
          <w:p>
            <w:pPr>
              <w:pStyle w:val="Compact"/>
            </w:pPr>
            <w:r>
              <w:rPr>
                <w:b/>
                <w:color w:val="FFFFFF"/>
              </w:rPr>
              <w:t xml:space="preserve">Evidence to check</w:t>
            </w:r>
          </w:p>
        </w:tc>
        <w:tc>
          <w:tcPr>
            <w:tcW w:type="dxa" w:w="1028"/>
            <w:shd w:val="clear" w:color="auto" w:fill="002F6D"/>
          </w:tcPr>
          <w:p>
            <w:pPr>
              <w:pStyle w:val="Compact"/>
            </w:pPr>
            <w:r>
              <w:rPr>
                <w:b/>
                <w:color w:val="FFFFFF"/>
              </w:rPr>
              <w:t xml:space="preserve">Finding</w:t>
            </w:r>
          </w:p>
        </w:tc>
      </w:tr>
      <w:tr>
        <w:trPr>
          <w:cantSplit/>
        </w:trPr>
        <w:tc>
          <w:tcPr>
            <w:tcW w:type="dxa" w:w="748"/>
          </w:tcPr>
          <w:p>
            <w:pPr>
              <w:pStyle w:val="Compact"/>
            </w:pPr>
            <w:r>
              <w:t xml:space="preserve">B2.1</w:t>
            </w:r>
          </w:p>
        </w:tc>
        <w:tc>
          <w:tcPr>
            <w:tcW w:type="dxa" w:w="3367"/>
          </w:tcPr>
          <w:p>
            <w:pPr>
              <w:pStyle w:val="Compact"/>
            </w:pPr>
            <w:r>
              <w:t xml:space="preserve">Rent set by dividing the head lease rent by the number of units, not from the cost of providing the accommodation</w:t>
            </w:r>
          </w:p>
        </w:tc>
        <w:tc>
          <w:tcPr>
            <w:tcW w:type="dxa" w:w="1964"/>
          </w:tcPr>
          <w:p>
            <w:pPr>
              <w:pStyle w:val="Compact"/>
            </w:pPr>
            <w:r>
              <w:t xml:space="preserve">High.</w:t>
            </w:r>
            <w:r>
              <w:t xml:space="preserve"> </w:t>
            </w:r>
            <w:r>
              <w:rPr>
                <w:i/>
                <w:iCs/>
              </w:rPr>
              <w:t xml:space="preserve">FYE</w:t>
            </w:r>
            <w:r>
              <w:t xml:space="preserve">, para 15(g);</w:t>
            </w:r>
            <w:r>
              <w:t xml:space="preserve"> </w:t>
            </w:r>
            <w:r>
              <w:rPr>
                <w:i/>
                <w:iCs/>
              </w:rPr>
              <w:t xml:space="preserve">Salford</w:t>
            </w:r>
            <w:r>
              <w:t xml:space="preserve">, paras 93 and 94</w:t>
            </w:r>
          </w:p>
        </w:tc>
        <w:tc>
          <w:tcPr>
            <w:tcW w:type="dxa" w:w="2244"/>
          </w:tcPr>
          <w:p>
            <w:pPr>
              <w:pStyle w:val="Compact"/>
            </w:pPr>
            <w:r>
              <w:t xml:space="preserve">Rent and service charge build-up (Appendix 8)</w:t>
            </w:r>
          </w:p>
        </w:tc>
        <w:tc>
          <w:tcPr>
            <w:tcW w:type="dxa" w:w="1028"/>
          </w:tcPr>
          <w:p>
            <w:pPr>
              <w:pStyle w:val="Compact"/>
            </w:pPr>
          </w:p>
        </w:tc>
      </w:tr>
      <w:tr>
        <w:trPr>
          <w:cantSplit/>
        </w:trPr>
        <w:tc>
          <w:tcPr>
            <w:tcW w:type="dxa" w:w="748"/>
            <w:shd w:val="clear" w:color="auto" w:fill="E6ECF4"/>
          </w:tcPr>
          <w:p>
            <w:pPr>
              <w:pStyle w:val="Compact"/>
            </w:pPr>
            <w:r>
              <w:t xml:space="preserve">B2.2</w:t>
            </w:r>
          </w:p>
        </w:tc>
        <w:tc>
          <w:tcPr>
            <w:tcW w:type="dxa" w:w="3367"/>
            <w:shd w:val="clear" w:color="auto" w:fill="E6ECF4"/>
          </w:tcPr>
          <w:p>
            <w:pPr>
              <w:pStyle w:val="Compact"/>
            </w:pPr>
            <w:r>
              <w:t xml:space="preserve">Rent significantly higher than reasonably necessary to cover costs</w:t>
            </w:r>
          </w:p>
        </w:tc>
        <w:tc>
          <w:tcPr>
            <w:tcW w:type="dxa" w:w="1964"/>
            <w:shd w:val="clear" w:color="auto" w:fill="E6ECF4"/>
          </w:tcPr>
          <w:p>
            <w:pPr>
              <w:pStyle w:val="Compact"/>
            </w:pPr>
            <w:r>
              <w:t xml:space="preserve">High.</w:t>
            </w:r>
            <w:r>
              <w:t xml:space="preserve"> </w:t>
            </w:r>
            <w:r>
              <w:rPr>
                <w:i/>
                <w:iCs/>
              </w:rPr>
              <w:t xml:space="preserve">Salford</w:t>
            </w:r>
            <w:r>
              <w:t xml:space="preserve">, para 62</w:t>
            </w:r>
          </w:p>
        </w:tc>
        <w:tc>
          <w:tcPr>
            <w:tcW w:type="dxa" w:w="2244"/>
            <w:shd w:val="clear" w:color="auto" w:fill="E6ECF4"/>
          </w:tcPr>
          <w:p>
            <w:pPr>
              <w:pStyle w:val="Compact"/>
            </w:pPr>
            <w:r>
              <w:t xml:space="preserve">Build-up; accounts; comparators (Chapter 10)</w:t>
            </w:r>
          </w:p>
        </w:tc>
        <w:tc>
          <w:tcPr>
            <w:tcW w:type="dxa" w:w="1028"/>
            <w:shd w:val="clear" w:color="auto" w:fill="E6ECF4"/>
          </w:tcPr>
          <w:p>
            <w:pPr>
              <w:pStyle w:val="Compact"/>
            </w:pPr>
          </w:p>
        </w:tc>
      </w:tr>
      <w:tr>
        <w:trPr>
          <w:cantSplit/>
        </w:trPr>
        <w:tc>
          <w:tcPr>
            <w:tcW w:type="dxa" w:w="748"/>
          </w:tcPr>
          <w:p>
            <w:pPr>
              <w:pStyle w:val="Compact"/>
            </w:pPr>
            <w:r>
              <w:t xml:space="preserve">B2.3</w:t>
            </w:r>
          </w:p>
        </w:tc>
        <w:tc>
          <w:tcPr>
            <w:tcW w:type="dxa" w:w="3367"/>
          </w:tcPr>
          <w:p>
            <w:pPr>
              <w:pStyle w:val="Compact"/>
            </w:pPr>
            <w:r>
              <w:t xml:space="preserve">Rent justified by notional borrowing over an unreasonably short term or at an unreasonably high rate</w:t>
            </w:r>
          </w:p>
        </w:tc>
        <w:tc>
          <w:tcPr>
            <w:tcW w:type="dxa" w:w="1964"/>
          </w:tcPr>
          <w:p>
            <w:pPr>
              <w:pStyle w:val="Compact"/>
            </w:pPr>
            <w:r>
              <w:t xml:space="preserve">Medium.</w:t>
            </w:r>
            <w:r>
              <w:t xml:space="preserve"> </w:t>
            </w:r>
            <w:r>
              <w:rPr>
                <w:i/>
                <w:iCs/>
              </w:rPr>
              <w:t xml:space="preserve">Salford</w:t>
            </w:r>
            <w:r>
              <w:t xml:space="preserve">, para 63</w:t>
            </w:r>
          </w:p>
        </w:tc>
        <w:tc>
          <w:tcPr>
            <w:tcW w:type="dxa" w:w="2244"/>
          </w:tcPr>
          <w:p>
            <w:pPr>
              <w:pStyle w:val="Compact"/>
            </w:pPr>
            <w:r>
              <w:t xml:space="preserve">Build-up; any loan or finance assumptions</w:t>
            </w:r>
          </w:p>
        </w:tc>
        <w:tc>
          <w:tcPr>
            <w:tcW w:type="dxa" w:w="1028"/>
          </w:tcPr>
          <w:p>
            <w:pPr>
              <w:pStyle w:val="Compact"/>
            </w:pPr>
          </w:p>
        </w:tc>
      </w:tr>
      <w:tr>
        <w:trPr>
          <w:cantSplit/>
        </w:trPr>
        <w:tc>
          <w:tcPr>
            <w:tcW w:type="dxa" w:w="748"/>
            <w:shd w:val="clear" w:color="auto" w:fill="E6ECF4"/>
          </w:tcPr>
          <w:p>
            <w:pPr>
              <w:pStyle w:val="Compact"/>
            </w:pPr>
            <w:r>
              <w:t xml:space="preserve">B2.4</w:t>
            </w:r>
          </w:p>
        </w:tc>
        <w:tc>
          <w:tcPr>
            <w:tcW w:type="dxa" w:w="3367"/>
            <w:shd w:val="clear" w:color="auto" w:fill="E6ECF4"/>
          </w:tcPr>
          <w:p>
            <w:pPr>
              <w:pStyle w:val="Compact"/>
            </w:pPr>
            <w:r>
              <w:t xml:space="preserve">Rents well above local supported housing levels, without an explanation in costs or services</w:t>
            </w:r>
          </w:p>
        </w:tc>
        <w:tc>
          <w:tcPr>
            <w:tcW w:type="dxa" w:w="1964"/>
            <w:shd w:val="clear" w:color="auto" w:fill="E6ECF4"/>
          </w:tcPr>
          <w:p>
            <w:pPr>
              <w:pStyle w:val="Compact"/>
            </w:pPr>
            <w:r>
              <w:t xml:space="preserve">Medium. Chapter 10</w:t>
            </w:r>
          </w:p>
        </w:tc>
        <w:tc>
          <w:tcPr>
            <w:tcW w:type="dxa" w:w="2244"/>
            <w:shd w:val="clear" w:color="auto" w:fill="E6ECF4"/>
          </w:tcPr>
          <w:p>
            <w:pPr>
              <w:pStyle w:val="Compact"/>
            </w:pPr>
            <w:r>
              <w:t xml:space="preserve">Comparators; build-up</w:t>
            </w:r>
          </w:p>
        </w:tc>
        <w:tc>
          <w:tcPr>
            <w:tcW w:type="dxa" w:w="1028"/>
            <w:shd w:val="clear" w:color="auto" w:fill="E6ECF4"/>
          </w:tcPr>
          <w:p>
            <w:pPr>
              <w:pStyle w:val="Compact"/>
            </w:pPr>
          </w:p>
        </w:tc>
      </w:tr>
      <w:tr>
        <w:trPr>
          <w:cantSplit/>
        </w:trPr>
        <w:tc>
          <w:tcPr>
            <w:tcW w:type="dxa" w:w="748"/>
          </w:tcPr>
          <w:p>
            <w:pPr>
              <w:pStyle w:val="Compact"/>
            </w:pPr>
            <w:r>
              <w:t xml:space="preserve">B2.5</w:t>
            </w:r>
          </w:p>
        </w:tc>
        <w:tc>
          <w:tcPr>
            <w:tcW w:type="dxa" w:w="3367"/>
          </w:tcPr>
          <w:p>
            <w:pPr>
              <w:pStyle w:val="Compact"/>
            </w:pPr>
            <w:r>
              <w:t xml:space="preserve">Tenants charged £15 to £20 a week for ineligible "support" to qualify as exempt, alongside a high lease charge</w:t>
            </w:r>
          </w:p>
        </w:tc>
        <w:tc>
          <w:tcPr>
            <w:tcW w:type="dxa" w:w="1964"/>
          </w:tcPr>
          <w:p>
            <w:pPr>
              <w:pStyle w:val="Compact"/>
            </w:pPr>
            <w:r>
              <w:t xml:space="preserve">Medium. Chapter 11, 11.6</w:t>
            </w:r>
          </w:p>
        </w:tc>
        <w:tc>
          <w:tcPr>
            <w:tcW w:type="dxa" w:w="2244"/>
          </w:tcPr>
          <w:p>
            <w:pPr>
              <w:pStyle w:val="Compact"/>
            </w:pPr>
            <w:r>
              <w:t xml:space="preserve">Tenancy agreement; charges schedule</w:t>
            </w:r>
          </w:p>
        </w:tc>
        <w:tc>
          <w:tcPr>
            <w:tcW w:type="dxa" w:w="1028"/>
          </w:tcPr>
          <w:p>
            <w:pPr>
              <w:pStyle w:val="Compact"/>
            </w:pPr>
          </w:p>
        </w:tc>
      </w:tr>
    </w:tbl>
    <w:p>
      <w:pPr>
        <w:pStyle w:val="BodyText"/>
      </w:pPr>
      <w:r>
        <w:rPr>
          <w:b/>
          <w:bCs/>
        </w:rPr>
        <w:t xml:space="preserve">B3. Lease terms and property</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367"/>
        <w:gridCol w:w="1964"/>
        <w:gridCol w:w="2244"/>
        <w:gridCol w:w="1028"/>
      </w:tblGrid>
      <w:tr>
        <w:trPr>
          <w:tblHeader w:val="on"/>
          <w:cantSplit/>
          <w:tblHeader w:val="true"/>
        </w:trPr>
        <w:tc>
          <w:tcPr>
            <w:tcW w:type="dxa" w:w="748"/>
            <w:shd w:val="clear" w:color="auto" w:fill="002F6D"/>
          </w:tcPr>
          <w:p>
            <w:pPr>
              <w:pStyle w:val="Compact"/>
            </w:pPr>
            <w:r>
              <w:rPr>
                <w:b/>
                <w:color w:val="FFFFFF"/>
              </w:rPr>
              <w:t xml:space="preserve">Code</w:t>
            </w:r>
          </w:p>
        </w:tc>
        <w:tc>
          <w:tcPr>
            <w:tcW w:type="dxa" w:w="3367"/>
            <w:shd w:val="clear" w:color="auto" w:fill="002F6D"/>
          </w:tcPr>
          <w:p>
            <w:pPr>
              <w:pStyle w:val="Compact"/>
            </w:pPr>
            <w:r>
              <w:rPr>
                <w:b/>
                <w:color w:val="FFFFFF"/>
              </w:rPr>
              <w:t xml:space="preserve">Indicator</w:t>
            </w:r>
          </w:p>
        </w:tc>
        <w:tc>
          <w:tcPr>
            <w:tcW w:type="dxa" w:w="1964"/>
            <w:shd w:val="clear" w:color="auto" w:fill="002F6D"/>
          </w:tcPr>
          <w:p>
            <w:pPr>
              <w:pStyle w:val="Compact"/>
            </w:pPr>
            <w:r>
              <w:rPr>
                <w:b/>
                <w:color w:val="FFFFFF"/>
              </w:rPr>
              <w:t xml:space="preserve">Weight and source</w:t>
            </w:r>
          </w:p>
        </w:tc>
        <w:tc>
          <w:tcPr>
            <w:tcW w:type="dxa" w:w="2244"/>
            <w:shd w:val="clear" w:color="auto" w:fill="002F6D"/>
          </w:tcPr>
          <w:p>
            <w:pPr>
              <w:pStyle w:val="Compact"/>
            </w:pPr>
            <w:r>
              <w:rPr>
                <w:b/>
                <w:color w:val="FFFFFF"/>
              </w:rPr>
              <w:t xml:space="preserve">Evidence to check</w:t>
            </w:r>
          </w:p>
        </w:tc>
        <w:tc>
          <w:tcPr>
            <w:tcW w:type="dxa" w:w="1028"/>
            <w:shd w:val="clear" w:color="auto" w:fill="002F6D"/>
          </w:tcPr>
          <w:p>
            <w:pPr>
              <w:pStyle w:val="Compact"/>
            </w:pPr>
            <w:r>
              <w:rPr>
                <w:b/>
                <w:color w:val="FFFFFF"/>
              </w:rPr>
              <w:t xml:space="preserve">Finding</w:t>
            </w:r>
          </w:p>
        </w:tc>
      </w:tr>
      <w:tr>
        <w:trPr>
          <w:cantSplit/>
        </w:trPr>
        <w:tc>
          <w:tcPr>
            <w:tcW w:type="dxa" w:w="748"/>
          </w:tcPr>
          <w:p>
            <w:pPr>
              <w:pStyle w:val="Compact"/>
            </w:pPr>
            <w:r>
              <w:t xml:space="preserve">B3.1</w:t>
            </w:r>
          </w:p>
        </w:tc>
        <w:tc>
          <w:tcPr>
            <w:tcW w:type="dxa" w:w="3367"/>
          </w:tcPr>
          <w:p>
            <w:pPr>
              <w:pStyle w:val="Compact"/>
            </w:pPr>
            <w:r>
              <w:t xml:space="preserve">Long leases with no break clause, full repairing and insuring terms, and uplifts that pass all the risk to the provider</w:t>
            </w:r>
          </w:p>
        </w:tc>
        <w:tc>
          <w:tcPr>
            <w:tcW w:type="dxa" w:w="1964"/>
          </w:tcPr>
          <w:p>
            <w:pPr>
              <w:pStyle w:val="Compact"/>
            </w:pPr>
            <w:r>
              <w:t xml:space="preserve">Medium.</w:t>
            </w:r>
            <w:r>
              <w:t xml:space="preserve"> </w:t>
            </w:r>
            <w:r>
              <w:rPr>
                <w:i/>
                <w:iCs/>
              </w:rPr>
              <w:t xml:space="preserve">FYE</w:t>
            </w:r>
            <w:r>
              <w:t xml:space="preserve">, para 14; DWP guidance, paras 126 to 128</w:t>
            </w:r>
          </w:p>
        </w:tc>
        <w:tc>
          <w:tcPr>
            <w:tcW w:type="dxa" w:w="2244"/>
          </w:tcPr>
          <w:p>
            <w:pPr>
              <w:pStyle w:val="Compact"/>
            </w:pPr>
            <w:r>
              <w:t xml:space="preserve">Head lease</w:t>
            </w:r>
          </w:p>
        </w:tc>
        <w:tc>
          <w:tcPr>
            <w:tcW w:type="dxa" w:w="1028"/>
          </w:tcPr>
          <w:p>
            <w:pPr>
              <w:pStyle w:val="Compact"/>
            </w:pPr>
          </w:p>
        </w:tc>
      </w:tr>
      <w:tr>
        <w:trPr>
          <w:cantSplit/>
        </w:trPr>
        <w:tc>
          <w:tcPr>
            <w:tcW w:type="dxa" w:w="748"/>
            <w:shd w:val="clear" w:color="auto" w:fill="E6ECF4"/>
          </w:tcPr>
          <w:p>
            <w:pPr>
              <w:pStyle w:val="Compact"/>
            </w:pPr>
            <w:r>
              <w:t xml:space="preserve">B3.2</w:t>
            </w:r>
          </w:p>
        </w:tc>
        <w:tc>
          <w:tcPr>
            <w:tcW w:type="dxa" w:w="3367"/>
            <w:shd w:val="clear" w:color="auto" w:fill="E6ECF4"/>
          </w:tcPr>
          <w:p>
            <w:pPr>
              <w:pStyle w:val="Compact"/>
            </w:pPr>
            <w:r>
              <w:t xml:space="preserve">Head lease rent very high relative to the property's value</w:t>
            </w:r>
          </w:p>
        </w:tc>
        <w:tc>
          <w:tcPr>
            <w:tcW w:type="dxa" w:w="1964"/>
            <w:shd w:val="clear" w:color="auto" w:fill="E6ECF4"/>
          </w:tcPr>
          <w:p>
            <w:pPr>
              <w:pStyle w:val="Compact"/>
            </w:pPr>
            <w:r>
              <w:t xml:space="preserve">Medium.</w:t>
            </w:r>
            <w:r>
              <w:t xml:space="preserve"> </w:t>
            </w:r>
            <w:r>
              <w:rPr>
                <w:i/>
                <w:iCs/>
              </w:rPr>
              <w:t xml:space="preserve">Salford</w:t>
            </w:r>
            <w:r>
              <w:t xml:space="preserve">, para 94 (more than 11% of capital value)</w:t>
            </w:r>
          </w:p>
        </w:tc>
        <w:tc>
          <w:tcPr>
            <w:tcW w:type="dxa" w:w="2244"/>
            <w:shd w:val="clear" w:color="auto" w:fill="E6ECF4"/>
          </w:tcPr>
          <w:p>
            <w:pPr>
              <w:pStyle w:val="Compact"/>
            </w:pPr>
            <w:r>
              <w:t xml:space="preserve">Head lease; Land Registry price paid; valuation</w:t>
            </w:r>
          </w:p>
        </w:tc>
        <w:tc>
          <w:tcPr>
            <w:tcW w:type="dxa" w:w="1028"/>
            <w:shd w:val="clear" w:color="auto" w:fill="E6ECF4"/>
          </w:tcPr>
          <w:p>
            <w:pPr>
              <w:pStyle w:val="Compact"/>
            </w:pPr>
          </w:p>
        </w:tc>
      </w:tr>
      <w:tr>
        <w:trPr>
          <w:cantSplit/>
        </w:trPr>
        <w:tc>
          <w:tcPr>
            <w:tcW w:type="dxa" w:w="748"/>
          </w:tcPr>
          <w:p>
            <w:pPr>
              <w:pStyle w:val="Compact"/>
            </w:pPr>
            <w:r>
              <w:t xml:space="preserve">B3.3</w:t>
            </w:r>
          </w:p>
        </w:tc>
        <w:tc>
          <w:tcPr>
            <w:tcW w:type="dxa" w:w="3367"/>
          </w:tcPr>
          <w:p>
            <w:pPr>
              <w:pStyle w:val="Compact"/>
            </w:pPr>
            <w:r>
              <w:t xml:space="preserve">Property sold on between connected companies at a large uplift before being leased</w:t>
            </w:r>
          </w:p>
        </w:tc>
        <w:tc>
          <w:tcPr>
            <w:tcW w:type="dxa" w:w="1964"/>
          </w:tcPr>
          <w:p>
            <w:pPr>
              <w:pStyle w:val="Compact"/>
            </w:pPr>
            <w:r>
              <w:t xml:space="preserve">High.</w:t>
            </w:r>
            <w:r>
              <w:t xml:space="preserve"> </w:t>
            </w:r>
            <w:r>
              <w:rPr>
                <w:i/>
                <w:iCs/>
              </w:rPr>
              <w:t xml:space="preserve">FYE</w:t>
            </w:r>
            <w:r>
              <w:t xml:space="preserve">, para 14</w:t>
            </w:r>
          </w:p>
        </w:tc>
        <w:tc>
          <w:tcPr>
            <w:tcW w:type="dxa" w:w="2244"/>
          </w:tcPr>
          <w:p>
            <w:pPr>
              <w:pStyle w:val="Compact"/>
            </w:pPr>
            <w:r>
              <w:t xml:space="preserve">Land Registry title and price paid; Companies House</w:t>
            </w:r>
          </w:p>
        </w:tc>
        <w:tc>
          <w:tcPr>
            <w:tcW w:type="dxa" w:w="1028"/>
          </w:tcPr>
          <w:p>
            <w:pPr>
              <w:pStyle w:val="Compact"/>
            </w:pPr>
          </w:p>
        </w:tc>
      </w:tr>
      <w:tr>
        <w:trPr>
          <w:cantSplit/>
        </w:trPr>
        <w:tc>
          <w:tcPr>
            <w:tcW w:type="dxa" w:w="748"/>
            <w:shd w:val="clear" w:color="auto" w:fill="E6ECF4"/>
          </w:tcPr>
          <w:p>
            <w:pPr>
              <w:pStyle w:val="Compact"/>
            </w:pPr>
            <w:r>
              <w:t xml:space="preserve">B3.4</w:t>
            </w:r>
          </w:p>
        </w:tc>
        <w:tc>
          <w:tcPr>
            <w:tcW w:type="dxa" w:w="3367"/>
            <w:shd w:val="clear" w:color="auto" w:fill="E6ECF4"/>
          </w:tcPr>
          <w:p>
            <w:pPr>
              <w:pStyle w:val="Compact"/>
            </w:pPr>
            <w:r>
              <w:t xml:space="preserve">Lease terms give the owner control over rents, lettings or services, leaving the provider without a landlord's usual freedom</w:t>
            </w:r>
          </w:p>
        </w:tc>
        <w:tc>
          <w:tcPr>
            <w:tcW w:type="dxa" w:w="1964"/>
            <w:shd w:val="clear" w:color="auto" w:fill="E6ECF4"/>
          </w:tcPr>
          <w:p>
            <w:pPr>
              <w:pStyle w:val="Compact"/>
            </w:pPr>
            <w:r>
              <w:t xml:space="preserve">Medium. DWP guidance, paras 130 and 132 (also a managing agent question, Part A step 2)</w:t>
            </w:r>
          </w:p>
        </w:tc>
        <w:tc>
          <w:tcPr>
            <w:tcW w:type="dxa" w:w="2244"/>
            <w:shd w:val="clear" w:color="auto" w:fill="E6ECF4"/>
          </w:tcPr>
          <w:p>
            <w:pPr>
              <w:pStyle w:val="Compact"/>
            </w:pPr>
            <w:r>
              <w:t xml:space="preserve">Head lease; management agreement</w:t>
            </w:r>
          </w:p>
        </w:tc>
        <w:tc>
          <w:tcPr>
            <w:tcW w:type="dxa" w:w="1028"/>
            <w:shd w:val="clear" w:color="auto" w:fill="E6ECF4"/>
          </w:tcPr>
          <w:p>
            <w:pPr>
              <w:pStyle w:val="Compact"/>
            </w:pPr>
          </w:p>
        </w:tc>
      </w:tr>
      <w:tr>
        <w:trPr>
          <w:cantSplit/>
        </w:trPr>
        <w:tc>
          <w:tcPr>
            <w:tcW w:type="dxa" w:w="748"/>
          </w:tcPr>
          <w:p>
            <w:pPr>
              <w:pStyle w:val="Compact"/>
            </w:pPr>
            <w:r>
              <w:t xml:space="preserve">B3.5</w:t>
            </w:r>
          </w:p>
        </w:tc>
        <w:tc>
          <w:tcPr>
            <w:tcW w:type="dxa" w:w="3367"/>
          </w:tcPr>
          <w:p>
            <w:pPr>
              <w:pStyle w:val="Compact"/>
            </w:pPr>
            <w:r>
              <w:t xml:space="preserve">Lease negotiated without independent advice for the provider</w:t>
            </w:r>
          </w:p>
        </w:tc>
        <w:tc>
          <w:tcPr>
            <w:tcW w:type="dxa" w:w="1964"/>
          </w:tcPr>
          <w:p>
            <w:pPr>
              <w:pStyle w:val="Compact"/>
            </w:pPr>
            <w:r>
              <w:t xml:space="preserve">Low. Chapter 11, Good practice</w:t>
            </w:r>
          </w:p>
        </w:tc>
        <w:tc>
          <w:tcPr>
            <w:tcW w:type="dxa" w:w="2244"/>
          </w:tcPr>
          <w:p>
            <w:pPr>
              <w:pStyle w:val="Compact"/>
            </w:pPr>
            <w:r>
              <w:t xml:space="preserve">Board minutes; advice obtained</w:t>
            </w:r>
          </w:p>
        </w:tc>
        <w:tc>
          <w:tcPr>
            <w:tcW w:type="dxa" w:w="1028"/>
          </w:tcPr>
          <w:p>
            <w:pPr>
              <w:pStyle w:val="Compact"/>
            </w:pPr>
          </w:p>
        </w:tc>
      </w:tr>
    </w:tbl>
    <w:p>
      <w:pPr>
        <w:pStyle w:val="BodyText"/>
      </w:pPr>
      <w:r>
        <w:rPr>
          <w:b/>
          <w:bCs/>
        </w:rPr>
        <w:t xml:space="preserve">B4. Connected parties and governance</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367"/>
        <w:gridCol w:w="1964"/>
        <w:gridCol w:w="2244"/>
        <w:gridCol w:w="1028"/>
      </w:tblGrid>
      <w:tr>
        <w:trPr>
          <w:tblHeader w:val="on"/>
          <w:cantSplit/>
          <w:tblHeader w:val="true"/>
        </w:trPr>
        <w:tc>
          <w:tcPr>
            <w:tcW w:type="dxa" w:w="748"/>
            <w:shd w:val="clear" w:color="auto" w:fill="002F6D"/>
          </w:tcPr>
          <w:p>
            <w:pPr>
              <w:pStyle w:val="Compact"/>
            </w:pPr>
            <w:r>
              <w:rPr>
                <w:b/>
                <w:color w:val="FFFFFF"/>
              </w:rPr>
              <w:t xml:space="preserve">Code</w:t>
            </w:r>
          </w:p>
        </w:tc>
        <w:tc>
          <w:tcPr>
            <w:tcW w:type="dxa" w:w="3367"/>
            <w:shd w:val="clear" w:color="auto" w:fill="002F6D"/>
          </w:tcPr>
          <w:p>
            <w:pPr>
              <w:pStyle w:val="Compact"/>
            </w:pPr>
            <w:r>
              <w:rPr>
                <w:b/>
                <w:color w:val="FFFFFF"/>
              </w:rPr>
              <w:t xml:space="preserve">Indicator</w:t>
            </w:r>
          </w:p>
        </w:tc>
        <w:tc>
          <w:tcPr>
            <w:tcW w:type="dxa" w:w="1964"/>
            <w:shd w:val="clear" w:color="auto" w:fill="002F6D"/>
          </w:tcPr>
          <w:p>
            <w:pPr>
              <w:pStyle w:val="Compact"/>
            </w:pPr>
            <w:r>
              <w:rPr>
                <w:b/>
                <w:color w:val="FFFFFF"/>
              </w:rPr>
              <w:t xml:space="preserve">Weight and source</w:t>
            </w:r>
          </w:p>
        </w:tc>
        <w:tc>
          <w:tcPr>
            <w:tcW w:type="dxa" w:w="2244"/>
            <w:shd w:val="clear" w:color="auto" w:fill="002F6D"/>
          </w:tcPr>
          <w:p>
            <w:pPr>
              <w:pStyle w:val="Compact"/>
            </w:pPr>
            <w:r>
              <w:rPr>
                <w:b/>
                <w:color w:val="FFFFFF"/>
              </w:rPr>
              <w:t xml:space="preserve">Evidence to check</w:t>
            </w:r>
          </w:p>
        </w:tc>
        <w:tc>
          <w:tcPr>
            <w:tcW w:type="dxa" w:w="1028"/>
            <w:shd w:val="clear" w:color="auto" w:fill="002F6D"/>
          </w:tcPr>
          <w:p>
            <w:pPr>
              <w:pStyle w:val="Compact"/>
            </w:pPr>
            <w:r>
              <w:rPr>
                <w:b/>
                <w:color w:val="FFFFFF"/>
              </w:rPr>
              <w:t xml:space="preserve">Finding</w:t>
            </w:r>
          </w:p>
        </w:tc>
      </w:tr>
      <w:tr>
        <w:trPr>
          <w:cantSplit/>
        </w:trPr>
        <w:tc>
          <w:tcPr>
            <w:tcW w:type="dxa" w:w="748"/>
          </w:tcPr>
          <w:p>
            <w:pPr>
              <w:pStyle w:val="Compact"/>
            </w:pPr>
            <w:r>
              <w:t xml:space="preserve">B4.1</w:t>
            </w:r>
          </w:p>
        </w:tc>
        <w:tc>
          <w:tcPr>
            <w:tcW w:type="dxa" w:w="3367"/>
          </w:tcPr>
          <w:p>
            <w:pPr>
              <w:pStyle w:val="Compact"/>
            </w:pPr>
            <w:r>
              <w:t xml:space="preserve">The same people control, fund and profit from the provider, the property owner and other linked companies</w:t>
            </w:r>
          </w:p>
        </w:tc>
        <w:tc>
          <w:tcPr>
            <w:tcW w:type="dxa" w:w="1964"/>
          </w:tcPr>
          <w:p>
            <w:pPr>
              <w:pStyle w:val="Compact"/>
            </w:pPr>
            <w:r>
              <w:t xml:space="preserve">High.</w:t>
            </w:r>
            <w:r>
              <w:t xml:space="preserve"> </w:t>
            </w:r>
            <w:r>
              <w:rPr>
                <w:i/>
                <w:iCs/>
              </w:rPr>
              <w:t xml:space="preserve">FYE</w:t>
            </w:r>
            <w:r>
              <w:t xml:space="preserve">, para 15(a); DWP guidance, para 131</w:t>
            </w:r>
          </w:p>
        </w:tc>
        <w:tc>
          <w:tcPr>
            <w:tcW w:type="dxa" w:w="2244"/>
          </w:tcPr>
          <w:p>
            <w:pPr>
              <w:pStyle w:val="Compact"/>
            </w:pPr>
            <w:r>
              <w:t xml:space="preserve">Companies House officers and people with significant control; Charity Commission</w:t>
            </w:r>
          </w:p>
        </w:tc>
        <w:tc>
          <w:tcPr>
            <w:tcW w:type="dxa" w:w="1028"/>
          </w:tcPr>
          <w:p>
            <w:pPr>
              <w:pStyle w:val="Compact"/>
            </w:pPr>
          </w:p>
        </w:tc>
      </w:tr>
      <w:tr>
        <w:trPr>
          <w:cantSplit/>
        </w:trPr>
        <w:tc>
          <w:tcPr>
            <w:tcW w:type="dxa" w:w="748"/>
            <w:shd w:val="clear" w:color="auto" w:fill="E6ECF4"/>
          </w:tcPr>
          <w:p>
            <w:pPr>
              <w:pStyle w:val="Compact"/>
            </w:pPr>
            <w:r>
              <w:t xml:space="preserve">B4.2</w:t>
            </w:r>
          </w:p>
        </w:tc>
        <w:tc>
          <w:tcPr>
            <w:tcW w:type="dxa" w:w="3367"/>
            <w:shd w:val="clear" w:color="auto" w:fill="E6ECF4"/>
          </w:tcPr>
          <w:p>
            <w:pPr>
              <w:pStyle w:val="Compact"/>
            </w:pPr>
            <w:r>
              <w:t xml:space="preserve">Payments to trustees or directors, or a charity or CIC run like a private company</w:t>
            </w:r>
          </w:p>
        </w:tc>
        <w:tc>
          <w:tcPr>
            <w:tcW w:type="dxa" w:w="1964"/>
            <w:shd w:val="clear" w:color="auto" w:fill="E6ECF4"/>
          </w:tcPr>
          <w:p>
            <w:pPr>
              <w:pStyle w:val="Compact"/>
            </w:pPr>
            <w:r>
              <w:t xml:space="preserve">High.</w:t>
            </w:r>
            <w:r>
              <w:t xml:space="preserve"> </w:t>
            </w:r>
            <w:r>
              <w:rPr>
                <w:i/>
                <w:iCs/>
              </w:rPr>
              <w:t xml:space="preserve">FYE</w:t>
            </w:r>
            <w:r>
              <w:t xml:space="preserve">, para 15(f)</w:t>
            </w:r>
          </w:p>
        </w:tc>
        <w:tc>
          <w:tcPr>
            <w:tcW w:type="dxa" w:w="2244"/>
            <w:shd w:val="clear" w:color="auto" w:fill="E6ECF4"/>
          </w:tcPr>
          <w:p>
            <w:pPr>
              <w:pStyle w:val="Compact"/>
            </w:pPr>
            <w:r>
              <w:t xml:space="preserve">Accounts; Charity Commission; constitution</w:t>
            </w:r>
          </w:p>
        </w:tc>
        <w:tc>
          <w:tcPr>
            <w:tcW w:type="dxa" w:w="1028"/>
            <w:shd w:val="clear" w:color="auto" w:fill="E6ECF4"/>
          </w:tcPr>
          <w:p>
            <w:pPr>
              <w:pStyle w:val="Compact"/>
            </w:pPr>
          </w:p>
        </w:tc>
      </w:tr>
      <w:tr>
        <w:trPr>
          <w:cantSplit/>
        </w:trPr>
        <w:tc>
          <w:tcPr>
            <w:tcW w:type="dxa" w:w="748"/>
          </w:tcPr>
          <w:p>
            <w:pPr>
              <w:pStyle w:val="Compact"/>
            </w:pPr>
            <w:r>
              <w:t xml:space="preserve">B4.3</w:t>
            </w:r>
          </w:p>
        </w:tc>
        <w:tc>
          <w:tcPr>
            <w:tcW w:type="dxa" w:w="3367"/>
          </w:tcPr>
          <w:p>
            <w:pPr>
              <w:pStyle w:val="Compact"/>
            </w:pPr>
            <w:r>
              <w:t xml:space="preserve">Significant profits made by connected individuals or companies at public expense</w:t>
            </w:r>
          </w:p>
        </w:tc>
        <w:tc>
          <w:tcPr>
            <w:tcW w:type="dxa" w:w="1964"/>
          </w:tcPr>
          <w:p>
            <w:pPr>
              <w:pStyle w:val="Compact"/>
            </w:pPr>
            <w:r>
              <w:t xml:space="preserve">High.</w:t>
            </w:r>
            <w:r>
              <w:t xml:space="preserve"> </w:t>
            </w:r>
            <w:r>
              <w:rPr>
                <w:i/>
                <w:iCs/>
              </w:rPr>
              <w:t xml:space="preserve">FYE</w:t>
            </w:r>
            <w:r>
              <w:t xml:space="preserve">, para 15(e)</w:t>
            </w:r>
          </w:p>
        </w:tc>
        <w:tc>
          <w:tcPr>
            <w:tcW w:type="dxa" w:w="2244"/>
          </w:tcPr>
          <w:p>
            <w:pPr>
              <w:pStyle w:val="Compact"/>
            </w:pPr>
            <w:r>
              <w:t xml:space="preserve">Accounts of connected companies</w:t>
            </w:r>
          </w:p>
        </w:tc>
        <w:tc>
          <w:tcPr>
            <w:tcW w:type="dxa" w:w="1028"/>
          </w:tcPr>
          <w:p>
            <w:pPr>
              <w:pStyle w:val="Compact"/>
            </w:pPr>
          </w:p>
        </w:tc>
      </w:tr>
      <w:tr>
        <w:trPr>
          <w:cantSplit/>
        </w:trPr>
        <w:tc>
          <w:tcPr>
            <w:tcW w:type="dxa" w:w="748"/>
            <w:shd w:val="clear" w:color="auto" w:fill="E6ECF4"/>
          </w:tcPr>
          <w:p>
            <w:pPr>
              <w:pStyle w:val="Compact"/>
            </w:pPr>
            <w:r>
              <w:t xml:space="preserve">B4.4</w:t>
            </w:r>
          </w:p>
        </w:tc>
        <w:tc>
          <w:tcPr>
            <w:tcW w:type="dxa" w:w="3367"/>
            <w:shd w:val="clear" w:color="auto" w:fill="E6ECF4"/>
          </w:tcPr>
          <w:p>
            <w:pPr>
              <w:pStyle w:val="Compact"/>
            </w:pPr>
            <w:r>
              <w:t xml:space="preserve">No conflict of interest policy, or conflicts not declared or managed</w:t>
            </w:r>
          </w:p>
        </w:tc>
        <w:tc>
          <w:tcPr>
            <w:tcW w:type="dxa" w:w="1964"/>
            <w:shd w:val="clear" w:color="auto" w:fill="E6ECF4"/>
          </w:tcPr>
          <w:p>
            <w:pPr>
              <w:pStyle w:val="Compact"/>
            </w:pPr>
            <w:r>
              <w:t xml:space="preserve">Medium. DWP guidance, para 131</w:t>
            </w:r>
          </w:p>
        </w:tc>
        <w:tc>
          <w:tcPr>
            <w:tcW w:type="dxa" w:w="2244"/>
            <w:shd w:val="clear" w:color="auto" w:fill="E6ECF4"/>
          </w:tcPr>
          <w:p>
            <w:pPr>
              <w:pStyle w:val="Compact"/>
            </w:pPr>
            <w:r>
              <w:t xml:space="preserve">Policy; register of interests; board minutes</w:t>
            </w:r>
          </w:p>
        </w:tc>
        <w:tc>
          <w:tcPr>
            <w:tcW w:type="dxa" w:w="1028"/>
            <w:shd w:val="clear" w:color="auto" w:fill="E6ECF4"/>
          </w:tcPr>
          <w:p>
            <w:pPr>
              <w:pStyle w:val="Compact"/>
            </w:pPr>
          </w:p>
        </w:tc>
      </w:tr>
      <w:tr>
        <w:trPr>
          <w:cantSplit/>
        </w:trPr>
        <w:tc>
          <w:tcPr>
            <w:tcW w:type="dxa" w:w="748"/>
          </w:tcPr>
          <w:p>
            <w:pPr>
              <w:pStyle w:val="Compact"/>
            </w:pPr>
            <w:r>
              <w:t xml:space="preserve">B4.5</w:t>
            </w:r>
          </w:p>
        </w:tc>
        <w:tc>
          <w:tcPr>
            <w:tcW w:type="dxa" w:w="3367"/>
          </w:tcPr>
          <w:p>
            <w:pPr>
              <w:pStyle w:val="Compact"/>
            </w:pPr>
            <w:r>
              <w:t xml:space="preserve">Property agencies, investment companies, care companies and providers intertwined, or a property agency creating or controlling a provider</w:t>
            </w:r>
          </w:p>
        </w:tc>
        <w:tc>
          <w:tcPr>
            <w:tcW w:type="dxa" w:w="1964"/>
          </w:tcPr>
          <w:p>
            <w:pPr>
              <w:pStyle w:val="Compact"/>
            </w:pPr>
            <w:r>
              <w:t xml:space="preserve">Medium. SHP blog (above)</w:t>
            </w:r>
          </w:p>
        </w:tc>
        <w:tc>
          <w:tcPr>
            <w:tcW w:type="dxa" w:w="2244"/>
          </w:tcPr>
          <w:p>
            <w:pPr>
              <w:pStyle w:val="Compact"/>
            </w:pPr>
            <w:r>
              <w:t xml:space="preserve">Companies House; websites; marketing material to investors</w:t>
            </w:r>
          </w:p>
        </w:tc>
        <w:tc>
          <w:tcPr>
            <w:tcW w:type="dxa" w:w="1028"/>
          </w:tcPr>
          <w:p>
            <w:pPr>
              <w:pStyle w:val="Compact"/>
            </w:pPr>
          </w:p>
        </w:tc>
      </w:tr>
    </w:tbl>
    <w:p>
      <w:pPr>
        <w:pStyle w:val="BodyText"/>
      </w:pPr>
      <w:r>
        <w:rPr>
          <w:b/>
          <w:bCs/>
        </w:rPr>
        <w:t xml:space="preserve">B5. Support and lettings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748"/>
        <w:gridCol w:w="3367"/>
        <w:gridCol w:w="1964"/>
        <w:gridCol w:w="2244"/>
        <w:gridCol w:w="1028"/>
      </w:tblGrid>
      <w:tr>
        <w:trPr>
          <w:tblHeader w:val="on"/>
          <w:cantSplit/>
          <w:tblHeader w:val="true"/>
        </w:trPr>
        <w:tc>
          <w:tcPr>
            <w:tcW w:type="dxa" w:w="748"/>
            <w:shd w:val="clear" w:color="auto" w:fill="002F6D"/>
          </w:tcPr>
          <w:p>
            <w:pPr>
              <w:pStyle w:val="Compact"/>
            </w:pPr>
            <w:r>
              <w:rPr>
                <w:b/>
                <w:color w:val="FFFFFF"/>
              </w:rPr>
              <w:t xml:space="preserve">Code</w:t>
            </w:r>
          </w:p>
        </w:tc>
        <w:tc>
          <w:tcPr>
            <w:tcW w:type="dxa" w:w="3367"/>
            <w:shd w:val="clear" w:color="auto" w:fill="002F6D"/>
          </w:tcPr>
          <w:p>
            <w:pPr>
              <w:pStyle w:val="Compact"/>
            </w:pPr>
            <w:r>
              <w:rPr>
                <w:b/>
                <w:color w:val="FFFFFF"/>
              </w:rPr>
              <w:t xml:space="preserve">Indicator</w:t>
            </w:r>
          </w:p>
        </w:tc>
        <w:tc>
          <w:tcPr>
            <w:tcW w:type="dxa" w:w="1964"/>
            <w:shd w:val="clear" w:color="auto" w:fill="002F6D"/>
          </w:tcPr>
          <w:p>
            <w:pPr>
              <w:pStyle w:val="Compact"/>
            </w:pPr>
            <w:r>
              <w:rPr>
                <w:b/>
                <w:color w:val="FFFFFF"/>
              </w:rPr>
              <w:t xml:space="preserve">Weight and source</w:t>
            </w:r>
          </w:p>
        </w:tc>
        <w:tc>
          <w:tcPr>
            <w:tcW w:type="dxa" w:w="2244"/>
            <w:shd w:val="clear" w:color="auto" w:fill="002F6D"/>
          </w:tcPr>
          <w:p>
            <w:pPr>
              <w:pStyle w:val="Compact"/>
            </w:pPr>
            <w:r>
              <w:rPr>
                <w:b/>
                <w:color w:val="FFFFFF"/>
              </w:rPr>
              <w:t xml:space="preserve">Evidence to check</w:t>
            </w:r>
          </w:p>
        </w:tc>
        <w:tc>
          <w:tcPr>
            <w:tcW w:type="dxa" w:w="1028"/>
            <w:shd w:val="clear" w:color="auto" w:fill="002F6D"/>
          </w:tcPr>
          <w:p>
            <w:pPr>
              <w:pStyle w:val="Compact"/>
            </w:pPr>
            <w:r>
              <w:rPr>
                <w:b/>
                <w:color w:val="FFFFFF"/>
              </w:rPr>
              <w:t xml:space="preserve">Finding</w:t>
            </w:r>
          </w:p>
        </w:tc>
      </w:tr>
      <w:tr>
        <w:trPr>
          <w:cantSplit/>
        </w:trPr>
        <w:tc>
          <w:tcPr>
            <w:tcW w:type="dxa" w:w="748"/>
          </w:tcPr>
          <w:p>
            <w:pPr>
              <w:pStyle w:val="Compact"/>
            </w:pPr>
            <w:r>
              <w:t xml:space="preserve">B5.1</w:t>
            </w:r>
          </w:p>
        </w:tc>
        <w:tc>
          <w:tcPr>
            <w:tcW w:type="dxa" w:w="3367"/>
          </w:tcPr>
          <w:p>
            <w:pPr>
              <w:pStyle w:val="Compact"/>
            </w:pPr>
            <w:r>
              <w:t xml:space="preserve">Tenants without a genuine need for support, suggesting they were selected to unlock exempt status</w:t>
            </w:r>
          </w:p>
        </w:tc>
        <w:tc>
          <w:tcPr>
            <w:tcW w:type="dxa" w:w="1964"/>
          </w:tcPr>
          <w:p>
            <w:pPr>
              <w:pStyle w:val="Compact"/>
            </w:pPr>
            <w:r>
              <w:t xml:space="preserve">High.</w:t>
            </w:r>
            <w:r>
              <w:t xml:space="preserve"> </w:t>
            </w:r>
            <w:r>
              <w:rPr>
                <w:i/>
                <w:iCs/>
              </w:rPr>
              <w:t xml:space="preserve">FYE</w:t>
            </w:r>
            <w:r>
              <w:t xml:space="preserve">, para 15(h) and (i);</w:t>
            </w:r>
            <w:r>
              <w:t xml:space="preserve"> </w:t>
            </w:r>
            <w:r>
              <w:rPr>
                <w:i/>
                <w:iCs/>
              </w:rPr>
              <w:t xml:space="preserve">Salford</w:t>
            </w:r>
            <w:r>
              <w:t xml:space="preserve">, para 68</w:t>
            </w:r>
          </w:p>
        </w:tc>
        <w:tc>
          <w:tcPr>
            <w:tcW w:type="dxa" w:w="2244"/>
          </w:tcPr>
          <w:p>
            <w:pPr>
              <w:pStyle w:val="Compact"/>
            </w:pPr>
            <w:r>
              <w:t xml:space="preserve">Referrals; needs assessments (Appendix 6)</w:t>
            </w:r>
          </w:p>
        </w:tc>
        <w:tc>
          <w:tcPr>
            <w:tcW w:type="dxa" w:w="1028"/>
          </w:tcPr>
          <w:p>
            <w:pPr>
              <w:pStyle w:val="Compact"/>
            </w:pPr>
          </w:p>
        </w:tc>
      </w:tr>
      <w:tr>
        <w:trPr>
          <w:cantSplit/>
        </w:trPr>
        <w:tc>
          <w:tcPr>
            <w:tcW w:type="dxa" w:w="748"/>
            <w:shd w:val="clear" w:color="auto" w:fill="E6ECF4"/>
          </w:tcPr>
          <w:p>
            <w:pPr>
              <w:pStyle w:val="Compact"/>
            </w:pPr>
            <w:r>
              <w:t xml:space="preserve">B5.2</w:t>
            </w:r>
          </w:p>
        </w:tc>
        <w:tc>
          <w:tcPr>
            <w:tcW w:type="dxa" w:w="3367"/>
            <w:shd w:val="clear" w:color="auto" w:fill="E6ECF4"/>
          </w:tcPr>
          <w:p>
            <w:pPr>
              <w:pStyle w:val="Compact"/>
            </w:pPr>
            <w:r>
              <w:t xml:space="preserve">Support not provided as described, or weak or token support</w:t>
            </w:r>
          </w:p>
        </w:tc>
        <w:tc>
          <w:tcPr>
            <w:tcW w:type="dxa" w:w="1964"/>
            <w:shd w:val="clear" w:color="auto" w:fill="E6ECF4"/>
          </w:tcPr>
          <w:p>
            <w:pPr>
              <w:pStyle w:val="Compact"/>
            </w:pPr>
            <w:r>
              <w:t xml:space="preserve">Medium.</w:t>
            </w:r>
            <w:r>
              <w:t xml:space="preserve"> </w:t>
            </w:r>
            <w:r>
              <w:rPr>
                <w:i/>
                <w:iCs/>
              </w:rPr>
              <w:t xml:space="preserve">FYE</w:t>
            </w:r>
            <w:r>
              <w:t xml:space="preserve">, para 15(h) and (i); SHP blog (above)</w:t>
            </w:r>
          </w:p>
        </w:tc>
        <w:tc>
          <w:tcPr>
            <w:tcW w:type="dxa" w:w="2244"/>
            <w:shd w:val="clear" w:color="auto" w:fill="E6ECF4"/>
          </w:tcPr>
          <w:p>
            <w:pPr>
              <w:pStyle w:val="Compact"/>
            </w:pPr>
            <w:r>
              <w:t xml:space="preserve">Support plans; activity records (Appendix 7)</w:t>
            </w:r>
          </w:p>
        </w:tc>
        <w:tc>
          <w:tcPr>
            <w:tcW w:type="dxa" w:w="1028"/>
            <w:shd w:val="clear" w:color="auto" w:fill="E6ECF4"/>
          </w:tcPr>
          <w:p>
            <w:pPr>
              <w:pStyle w:val="Compact"/>
            </w:pPr>
          </w:p>
        </w:tc>
      </w:tr>
      <w:tr>
        <w:trPr>
          <w:cantSplit/>
        </w:trPr>
        <w:tc>
          <w:tcPr>
            <w:tcW w:type="dxa" w:w="748"/>
          </w:tcPr>
          <w:p>
            <w:pPr>
              <w:pStyle w:val="Compact"/>
            </w:pPr>
            <w:r>
              <w:t xml:space="preserve">B5.3</w:t>
            </w:r>
          </w:p>
        </w:tc>
        <w:tc>
          <w:tcPr>
            <w:tcW w:type="dxa" w:w="3367"/>
          </w:tcPr>
          <w:p>
            <w:pPr>
              <w:pStyle w:val="Compact"/>
            </w:pPr>
            <w:r>
              <w:t xml:space="preserve">Support that exists mainly to qualify as exempt, rather than to meet assessed needs</w:t>
            </w:r>
          </w:p>
        </w:tc>
        <w:tc>
          <w:tcPr>
            <w:tcW w:type="dxa" w:w="1964"/>
          </w:tcPr>
          <w:p>
            <w:pPr>
              <w:pStyle w:val="Compact"/>
            </w:pPr>
            <w:r>
              <w:t xml:space="preserve">Medium. SHP blog (above)</w:t>
            </w:r>
          </w:p>
        </w:tc>
        <w:tc>
          <w:tcPr>
            <w:tcW w:type="dxa" w:w="2244"/>
          </w:tcPr>
          <w:p>
            <w:pPr>
              <w:pStyle w:val="Compact"/>
            </w:pPr>
            <w:r>
              <w:t xml:space="preserve">Service description; support plans</w:t>
            </w:r>
          </w:p>
        </w:tc>
        <w:tc>
          <w:tcPr>
            <w:tcW w:type="dxa" w:w="1028"/>
          </w:tcPr>
          <w:p>
            <w:pPr>
              <w:pStyle w:val="Compact"/>
            </w:pPr>
          </w:p>
        </w:tc>
      </w:tr>
      <w:tr>
        <w:trPr>
          <w:cantSplit/>
        </w:trPr>
        <w:tc>
          <w:tcPr>
            <w:tcW w:type="dxa" w:w="748"/>
            <w:shd w:val="clear" w:color="auto" w:fill="E6ECF4"/>
          </w:tcPr>
          <w:p>
            <w:pPr>
              <w:pStyle w:val="Compact"/>
            </w:pPr>
            <w:r>
              <w:t xml:space="preserve">B5.4</w:t>
            </w:r>
          </w:p>
        </w:tc>
        <w:tc>
          <w:tcPr>
            <w:tcW w:type="dxa" w:w="3367"/>
            <w:shd w:val="clear" w:color="auto" w:fill="E6ECF4"/>
          </w:tcPr>
          <w:p>
            <w:pPr>
              <w:pStyle w:val="Compact"/>
            </w:pPr>
            <w:r>
              <w:t xml:space="preserve">Rapid growth in properties or tenants without a clear social purpose or referral route</w:t>
            </w:r>
          </w:p>
        </w:tc>
        <w:tc>
          <w:tcPr>
            <w:tcW w:type="dxa" w:w="1964"/>
            <w:shd w:val="clear" w:color="auto" w:fill="E6ECF4"/>
          </w:tcPr>
          <w:p>
            <w:pPr>
              <w:pStyle w:val="Compact"/>
            </w:pPr>
            <w:r>
              <w:t xml:space="preserve">Low. SHP blog (above)</w:t>
            </w:r>
          </w:p>
        </w:tc>
        <w:tc>
          <w:tcPr>
            <w:tcW w:type="dxa" w:w="2244"/>
            <w:shd w:val="clear" w:color="auto" w:fill="E6ECF4"/>
          </w:tcPr>
          <w:p>
            <w:pPr>
              <w:pStyle w:val="Compact"/>
            </w:pPr>
            <w:r>
              <w:t xml:space="preserve">Number of units over time; referral sources</w:t>
            </w:r>
          </w:p>
        </w:tc>
        <w:tc>
          <w:tcPr>
            <w:tcW w:type="dxa" w:w="1028"/>
            <w:shd w:val="clear" w:color="auto" w:fill="E6ECF4"/>
          </w:tcPr>
          <w:p>
            <w:pPr>
              <w:pStyle w:val="Compact"/>
            </w:pPr>
          </w:p>
        </w:tc>
      </w:tr>
    </w:tbl>
    <w:bookmarkEnd w:id="13"/>
    <w:bookmarkStart w:id="14" w:name="part-c-features-of-a-genuine-arrangement"/>
    <w:p>
      <w:pPr>
        <w:pStyle w:val="Heading2"/>
        <w:pageBreakBefore/>
        <w:pBdr>
          <w:bottom w:val="single" w:sz="12" w:space="4" w:color="FF9202"/>
        </w:pBdr>
      </w:pPr>
      <w:r>
        <w:t xml:space="preserve">Part C: Features of a genuine arrangement</w:t>
      </w:r>
    </w:p>
    <w:p>
      <w:pPr>
        <w:pStyle w:val="FirstParagraph"/>
      </w:pPr>
      <w:r>
        <w:t xml:space="preserve">These features do not prevent a finding of contrivance, but they are strong evidence against one. Providers should be able to show them; councils should give them proper weight.</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841"/>
        <w:gridCol w:w="3460"/>
        <w:gridCol w:w="2432"/>
        <w:gridCol w:w="2619"/>
      </w:tblGrid>
      <w:tr>
        <w:trPr>
          <w:tblHeader w:val="on"/>
          <w:cantSplit/>
          <w:tblHeader w:val="true"/>
        </w:trPr>
        <w:tc>
          <w:tcPr>
            <w:tcW w:type="dxa" w:w="841"/>
            <w:shd w:val="clear" w:color="auto" w:fill="002F6D"/>
          </w:tcPr>
          <w:p>
            <w:pPr>
              <w:pStyle w:val="Compact"/>
            </w:pPr>
            <w:r>
              <w:rPr>
                <w:b/>
                <w:color w:val="FFFFFF"/>
              </w:rPr>
              <w:t xml:space="preserve">Code</w:t>
            </w:r>
          </w:p>
        </w:tc>
        <w:tc>
          <w:tcPr>
            <w:tcW w:type="dxa" w:w="3460"/>
            <w:shd w:val="clear" w:color="auto" w:fill="002F6D"/>
          </w:tcPr>
          <w:p>
            <w:pPr>
              <w:pStyle w:val="Compact"/>
            </w:pPr>
            <w:r>
              <w:rPr>
                <w:b/>
                <w:color w:val="FFFFFF"/>
              </w:rPr>
              <w:t xml:space="preserve">Feature</w:t>
            </w:r>
          </w:p>
        </w:tc>
        <w:tc>
          <w:tcPr>
            <w:tcW w:type="dxa" w:w="2432"/>
            <w:shd w:val="clear" w:color="auto" w:fill="002F6D"/>
          </w:tcPr>
          <w:p>
            <w:pPr>
              <w:pStyle w:val="Compact"/>
            </w:pPr>
            <w:r>
              <w:rPr>
                <w:b/>
                <w:color w:val="FFFFFF"/>
              </w:rPr>
              <w:t xml:space="preserve">Source</w:t>
            </w:r>
          </w:p>
        </w:tc>
        <w:tc>
          <w:tcPr>
            <w:tcW w:type="dxa" w:w="2619"/>
            <w:shd w:val="clear" w:color="auto" w:fill="002F6D"/>
          </w:tcPr>
          <w:p>
            <w:pPr>
              <w:pStyle w:val="Compact"/>
            </w:pPr>
            <w:r>
              <w:rPr>
                <w:b/>
                <w:color w:val="FFFFFF"/>
              </w:rPr>
              <w:t xml:space="preserve">Evidence</w:t>
            </w:r>
          </w:p>
        </w:tc>
      </w:tr>
      <w:tr>
        <w:trPr>
          <w:cantSplit/>
        </w:trPr>
        <w:tc>
          <w:tcPr>
            <w:tcW w:type="dxa" w:w="841"/>
          </w:tcPr>
          <w:p>
            <w:pPr>
              <w:pStyle w:val="Compact"/>
            </w:pPr>
            <w:r>
              <w:t xml:space="preserve">C1</w:t>
            </w:r>
          </w:p>
        </w:tc>
        <w:tc>
          <w:tcPr>
            <w:tcW w:type="dxa" w:w="3460"/>
          </w:tcPr>
          <w:p>
            <w:pPr>
              <w:pStyle w:val="Compact"/>
            </w:pPr>
            <w:r>
              <w:t xml:space="preserve">Real financial and organisational independence from the property owner, with arm's length relationships</w:t>
            </w:r>
          </w:p>
        </w:tc>
        <w:tc>
          <w:tcPr>
            <w:tcW w:type="dxa" w:w="2432"/>
          </w:tcPr>
          <w:p>
            <w:pPr>
              <w:pStyle w:val="Compact"/>
            </w:pPr>
            <w:r>
              <w:rPr>
                <w:i/>
                <w:iCs/>
              </w:rPr>
              <w:t xml:space="preserve">FYE</w:t>
            </w:r>
            <w:r>
              <w:t xml:space="preserve">, para 11;</w:t>
            </w:r>
            <w:r>
              <w:t xml:space="preserve"> </w:t>
            </w:r>
            <w:r>
              <w:rPr>
                <w:i/>
                <w:iCs/>
              </w:rPr>
              <w:t xml:space="preserve">Wirral BC v MF</w:t>
            </w:r>
            <w:r>
              <w:t xml:space="preserve"> </w:t>
            </w:r>
            <w:r>
              <w:t xml:space="preserve">[2013] UKUT 291 (AAC)</w:t>
            </w:r>
          </w:p>
        </w:tc>
        <w:tc>
          <w:tcPr>
            <w:tcW w:type="dxa" w:w="2619"/>
          </w:tcPr>
          <w:p>
            <w:pPr>
              <w:pStyle w:val="Compact"/>
            </w:pPr>
            <w:r>
              <w:t xml:space="preserve">Companies House; accounts; conflict of interest register</w:t>
            </w:r>
          </w:p>
        </w:tc>
      </w:tr>
      <w:tr>
        <w:trPr>
          <w:cantSplit/>
        </w:trPr>
        <w:tc>
          <w:tcPr>
            <w:tcW w:type="dxa" w:w="841"/>
            <w:shd w:val="clear" w:color="auto" w:fill="E6ECF4"/>
          </w:tcPr>
          <w:p>
            <w:pPr>
              <w:pStyle w:val="Compact"/>
            </w:pPr>
            <w:r>
              <w:t xml:space="preserve">C2</w:t>
            </w:r>
          </w:p>
        </w:tc>
        <w:tc>
          <w:tcPr>
            <w:tcW w:type="dxa" w:w="3460"/>
            <w:shd w:val="clear" w:color="auto" w:fill="E6ECF4"/>
          </w:tcPr>
          <w:p>
            <w:pPr>
              <w:pStyle w:val="Compact"/>
            </w:pPr>
            <w:r>
              <w:t xml:space="preserve">Lease negotiated in the provider's interests, with independent advice, break clauses and a fair share of risk</w:t>
            </w:r>
          </w:p>
        </w:tc>
        <w:tc>
          <w:tcPr>
            <w:tcW w:type="dxa" w:w="2432"/>
            <w:shd w:val="clear" w:color="auto" w:fill="E6ECF4"/>
          </w:tcPr>
          <w:p>
            <w:pPr>
              <w:pStyle w:val="Compact"/>
            </w:pPr>
            <w:r>
              <w:t xml:space="preserve">DWP guidance, paras 126 to 133</w:t>
            </w:r>
          </w:p>
        </w:tc>
        <w:tc>
          <w:tcPr>
            <w:tcW w:type="dxa" w:w="2619"/>
            <w:shd w:val="clear" w:color="auto" w:fill="E6ECF4"/>
          </w:tcPr>
          <w:p>
            <w:pPr>
              <w:pStyle w:val="Compact"/>
            </w:pPr>
            <w:r>
              <w:t xml:space="preserve">Head lease; board minutes</w:t>
            </w:r>
          </w:p>
        </w:tc>
      </w:tr>
      <w:tr>
        <w:trPr>
          <w:cantSplit/>
        </w:trPr>
        <w:tc>
          <w:tcPr>
            <w:tcW w:type="dxa" w:w="841"/>
          </w:tcPr>
          <w:p>
            <w:pPr>
              <w:pStyle w:val="Compact"/>
            </w:pPr>
            <w:r>
              <w:t xml:space="preserve">C3</w:t>
            </w:r>
          </w:p>
        </w:tc>
        <w:tc>
          <w:tcPr>
            <w:tcW w:type="dxa" w:w="3460"/>
          </w:tcPr>
          <w:p>
            <w:pPr>
              <w:pStyle w:val="Compact"/>
            </w:pPr>
            <w:r>
              <w:t xml:space="preserve">Rent built up from the actual cost of providing the accommodation and services</w:t>
            </w:r>
          </w:p>
        </w:tc>
        <w:tc>
          <w:tcPr>
            <w:tcW w:type="dxa" w:w="2432"/>
          </w:tcPr>
          <w:p>
            <w:pPr>
              <w:pStyle w:val="Compact"/>
            </w:pPr>
            <w:r>
              <w:rPr>
                <w:i/>
                <w:iCs/>
              </w:rPr>
              <w:t xml:space="preserve">Salford</w:t>
            </w:r>
            <w:r>
              <w:t xml:space="preserve">, paras 54 and 60; Appendix 8</w:t>
            </w:r>
          </w:p>
        </w:tc>
        <w:tc>
          <w:tcPr>
            <w:tcW w:type="dxa" w:w="2619"/>
          </w:tcPr>
          <w:p>
            <w:pPr>
              <w:pStyle w:val="Compact"/>
            </w:pPr>
            <w:r>
              <w:t xml:space="preserve">Rent and service charge build-up</w:t>
            </w:r>
          </w:p>
        </w:tc>
      </w:tr>
      <w:tr>
        <w:trPr>
          <w:cantSplit/>
        </w:trPr>
        <w:tc>
          <w:tcPr>
            <w:tcW w:type="dxa" w:w="841"/>
            <w:shd w:val="clear" w:color="auto" w:fill="E6ECF4"/>
          </w:tcPr>
          <w:p>
            <w:pPr>
              <w:pStyle w:val="Compact"/>
            </w:pPr>
            <w:r>
              <w:t xml:space="preserve">C4</w:t>
            </w:r>
          </w:p>
        </w:tc>
        <w:tc>
          <w:tcPr>
            <w:tcW w:type="dxa" w:w="3460"/>
            <w:shd w:val="clear" w:color="auto" w:fill="E6ECF4"/>
          </w:tcPr>
          <w:p>
            <w:pPr>
              <w:pStyle w:val="Compact"/>
            </w:pPr>
            <w:r>
              <w:t xml:space="preserve">A lawful, sustainable funding model for any ineligible support, such as commissioned contracts, grants or fundraising</w:t>
            </w:r>
          </w:p>
        </w:tc>
        <w:tc>
          <w:tcPr>
            <w:tcW w:type="dxa" w:w="2432"/>
            <w:shd w:val="clear" w:color="auto" w:fill="E6ECF4"/>
          </w:tcPr>
          <w:p>
            <w:pPr>
              <w:pStyle w:val="Compact"/>
            </w:pPr>
            <w:r>
              <w:t xml:space="preserve">Chapter 11, 11.6</w:t>
            </w:r>
          </w:p>
        </w:tc>
        <w:tc>
          <w:tcPr>
            <w:tcW w:type="dxa" w:w="2619"/>
            <w:shd w:val="clear" w:color="auto" w:fill="E6ECF4"/>
          </w:tcPr>
          <w:p>
            <w:pPr>
              <w:pStyle w:val="Compact"/>
            </w:pPr>
            <w:r>
              <w:t xml:space="preserve">Funding statement; contracts</w:t>
            </w:r>
          </w:p>
        </w:tc>
      </w:tr>
      <w:tr>
        <w:trPr>
          <w:cantSplit/>
        </w:trPr>
        <w:tc>
          <w:tcPr>
            <w:tcW w:type="dxa" w:w="841"/>
          </w:tcPr>
          <w:p>
            <w:pPr>
              <w:pStyle w:val="Compact"/>
            </w:pPr>
            <w:r>
              <w:t xml:space="preserve">C5</w:t>
            </w:r>
          </w:p>
        </w:tc>
        <w:tc>
          <w:tcPr>
            <w:tcW w:type="dxa" w:w="3460"/>
          </w:tcPr>
          <w:p>
            <w:pPr>
              <w:pStyle w:val="Compact"/>
            </w:pPr>
            <w:r>
              <w:t xml:space="preserve">Needs assessed before tenants move in, through a council-approved or professional referral route</w:t>
            </w:r>
          </w:p>
        </w:tc>
        <w:tc>
          <w:tcPr>
            <w:tcW w:type="dxa" w:w="2432"/>
          </w:tcPr>
          <w:p>
            <w:pPr>
              <w:pStyle w:val="Compact"/>
            </w:pPr>
            <w:r>
              <w:t xml:space="preserve">Chapter 14; Appendix 6</w:t>
            </w:r>
          </w:p>
        </w:tc>
        <w:tc>
          <w:tcPr>
            <w:tcW w:type="dxa" w:w="2619"/>
          </w:tcPr>
          <w:p>
            <w:pPr>
              <w:pStyle w:val="Compact"/>
            </w:pPr>
            <w:r>
              <w:t xml:space="preserve">Referrals; assessments</w:t>
            </w:r>
          </w:p>
        </w:tc>
      </w:tr>
      <w:tr>
        <w:trPr>
          <w:cantSplit/>
        </w:trPr>
        <w:tc>
          <w:tcPr>
            <w:tcW w:type="dxa" w:w="841"/>
            <w:shd w:val="clear" w:color="auto" w:fill="E6ECF4"/>
          </w:tcPr>
          <w:p>
            <w:pPr>
              <w:pStyle w:val="Compact"/>
            </w:pPr>
            <w:r>
              <w:t xml:space="preserve">C6</w:t>
            </w:r>
          </w:p>
        </w:tc>
        <w:tc>
          <w:tcPr>
            <w:tcW w:type="dxa" w:w="3460"/>
            <w:shd w:val="clear" w:color="auto" w:fill="E6ECF4"/>
          </w:tcPr>
          <w:p>
            <w:pPr>
              <w:pStyle w:val="Compact"/>
            </w:pPr>
            <w:r>
              <w:t xml:space="preserve">Support documented, tailored and delivered</w:t>
            </w:r>
          </w:p>
        </w:tc>
        <w:tc>
          <w:tcPr>
            <w:tcW w:type="dxa" w:w="2432"/>
            <w:shd w:val="clear" w:color="auto" w:fill="E6ECF4"/>
          </w:tcPr>
          <w:p>
            <w:pPr>
              <w:pStyle w:val="Compact"/>
            </w:pPr>
            <w:r>
              <w:t xml:space="preserve">Chapter 15; Appendix 7</w:t>
            </w:r>
          </w:p>
        </w:tc>
        <w:tc>
          <w:tcPr>
            <w:tcW w:type="dxa" w:w="2619"/>
            <w:shd w:val="clear" w:color="auto" w:fill="E6ECF4"/>
          </w:tcPr>
          <w:p>
            <w:pPr>
              <w:pStyle w:val="Compact"/>
            </w:pPr>
            <w:r>
              <w:t xml:space="preserve">Support plans; activity records</w:t>
            </w:r>
          </w:p>
        </w:tc>
      </w:tr>
      <w:tr>
        <w:trPr>
          <w:cantSplit/>
        </w:trPr>
        <w:tc>
          <w:tcPr>
            <w:tcW w:type="dxa" w:w="841"/>
          </w:tcPr>
          <w:p>
            <w:pPr>
              <w:pStyle w:val="Compact"/>
            </w:pPr>
            <w:r>
              <w:t xml:space="preserve">C7</w:t>
            </w:r>
          </w:p>
        </w:tc>
        <w:tc>
          <w:tcPr>
            <w:tcW w:type="dxa" w:w="3460"/>
          </w:tcPr>
          <w:p>
            <w:pPr>
              <w:pStyle w:val="Compact"/>
            </w:pPr>
            <w:r>
              <w:t xml:space="preserve">Independent trustees or directors, managed conflicts and no disguised profit distribution</w:t>
            </w:r>
          </w:p>
        </w:tc>
        <w:tc>
          <w:tcPr>
            <w:tcW w:type="dxa" w:w="2432"/>
          </w:tcPr>
          <w:p>
            <w:pPr>
              <w:pStyle w:val="Compact"/>
            </w:pPr>
            <w:r>
              <w:rPr>
                <w:i/>
                <w:iCs/>
              </w:rPr>
              <w:t xml:space="preserve">FYE</w:t>
            </w:r>
            <w:r>
              <w:t xml:space="preserve">, para 15(f)</w:t>
            </w:r>
          </w:p>
        </w:tc>
        <w:tc>
          <w:tcPr>
            <w:tcW w:type="dxa" w:w="2619"/>
          </w:tcPr>
          <w:p>
            <w:pPr>
              <w:pStyle w:val="Compact"/>
            </w:pPr>
            <w:r>
              <w:t xml:space="preserve">Constitution; accounts; minutes</w:t>
            </w:r>
          </w:p>
        </w:tc>
      </w:tr>
      <w:tr>
        <w:trPr>
          <w:cantSplit/>
        </w:trPr>
        <w:tc>
          <w:tcPr>
            <w:tcW w:type="dxa" w:w="841"/>
            <w:shd w:val="clear" w:color="auto" w:fill="E6ECF4"/>
          </w:tcPr>
          <w:p>
            <w:pPr>
              <w:pStyle w:val="Compact"/>
            </w:pPr>
            <w:r>
              <w:t xml:space="preserve">C8</w:t>
            </w:r>
          </w:p>
        </w:tc>
        <w:tc>
          <w:tcPr>
            <w:tcW w:type="dxa" w:w="3460"/>
            <w:shd w:val="clear" w:color="auto" w:fill="E6ECF4"/>
          </w:tcPr>
          <w:p>
            <w:pPr>
              <w:pStyle w:val="Compact"/>
            </w:pPr>
            <w:r>
              <w:t xml:space="preserve">Good governance and financial viability, as DWP describes for legitimate lease-based schemes</w:t>
            </w:r>
          </w:p>
        </w:tc>
        <w:tc>
          <w:tcPr>
            <w:tcW w:type="dxa" w:w="2432"/>
            <w:shd w:val="clear" w:color="auto" w:fill="E6ECF4"/>
          </w:tcPr>
          <w:p>
            <w:pPr>
              <w:pStyle w:val="Compact"/>
            </w:pPr>
            <w:r>
              <w:t xml:space="preserve">DWP guidance, para 133</w:t>
            </w:r>
          </w:p>
        </w:tc>
        <w:tc>
          <w:tcPr>
            <w:tcW w:type="dxa" w:w="2619"/>
            <w:shd w:val="clear" w:color="auto" w:fill="E6ECF4"/>
          </w:tcPr>
          <w:p>
            <w:pPr>
              <w:pStyle w:val="Compact"/>
            </w:pPr>
            <w:r>
              <w:t xml:space="preserve">Accounts; regulator judgments, where registered</w:t>
            </w:r>
          </w:p>
        </w:tc>
      </w:tr>
      <w:tr>
        <w:trPr>
          <w:cantSplit/>
        </w:trPr>
        <w:tc>
          <w:tcPr>
            <w:tcW w:type="dxa" w:w="841"/>
          </w:tcPr>
          <w:p>
            <w:pPr>
              <w:pStyle w:val="Compact"/>
            </w:pPr>
            <w:r>
              <w:t xml:space="preserve">C9</w:t>
            </w:r>
          </w:p>
        </w:tc>
        <w:tc>
          <w:tcPr>
            <w:tcW w:type="dxa" w:w="3460"/>
          </w:tcPr>
          <w:p>
            <w:pPr>
              <w:pStyle w:val="Compact"/>
            </w:pPr>
            <w:r>
              <w:t xml:space="preserve">Openness: lease, accounts and funding model shared at the start of the relationship</w:t>
            </w:r>
          </w:p>
        </w:tc>
        <w:tc>
          <w:tcPr>
            <w:tcW w:type="dxa" w:w="2432"/>
          </w:tcPr>
          <w:p>
            <w:pPr>
              <w:pStyle w:val="Compact"/>
            </w:pPr>
            <w:r>
              <w:t xml:space="preserve">Chapter 11, Finding common ground</w:t>
            </w:r>
          </w:p>
        </w:tc>
        <w:tc>
          <w:tcPr>
            <w:tcW w:type="dxa" w:w="2619"/>
          </w:tcPr>
          <w:p>
            <w:pPr>
              <w:pStyle w:val="Compact"/>
            </w:pPr>
            <w:r>
              <w:t xml:space="preserve">Scheme file</w:t>
            </w:r>
          </w:p>
        </w:tc>
      </w:tr>
    </w:tbl>
    <w:bookmarkEnd w:id="14"/>
    <w:bookmarkStart w:id="15" w:name="part-d-what-the-indicators-do-not-show"/>
    <w:p>
      <w:pPr>
        <w:pStyle w:val="Heading2"/>
        <w:pageBreakBefore/>
        <w:pBdr>
          <w:bottom w:val="single" w:sz="12" w:space="4" w:color="FF9202"/>
        </w:pBdr>
      </w:pPr>
      <w:r>
        <w:t xml:space="preserve">Part D: What the indicators do not show</w:t>
      </w:r>
    </w:p>
    <w:p>
      <w:pPr>
        <w:pStyle w:val="FirstParagraph"/>
      </w:pPr>
      <w:r>
        <w:t xml:space="preserve">The following are</w:t>
      </w:r>
      <w:r>
        <w:t xml:space="preserve"> </w:t>
      </w:r>
      <w:r>
        <w:rPr>
          <w:b/>
          <w:bCs/>
        </w:rPr>
        <w:t xml:space="preserve">not</w:t>
      </w:r>
      <w:r>
        <w:t xml:space="preserve"> </w:t>
      </w:r>
      <w:r>
        <w:t xml:space="preserve">evidence of contrivance on their own. A decision that relies on them alone would be wrong in law.</w:t>
      </w:r>
    </w:p>
    <w:p>
      <w:pPr>
        <w:pStyle w:val="Compact"/>
        <w:numPr>
          <w:ilvl w:val="0"/>
          <w:numId w:val="1003"/>
        </w:numPr>
      </w:pPr>
      <w:r>
        <w:rPr>
          <w:b/>
          <w:bCs/>
        </w:rPr>
        <w:t xml:space="preserve">The scheme relies on Housing Benefit.</w:t>
      </w:r>
      <w:r>
        <w:t xml:space="preserve"> </w:t>
      </w:r>
      <w:r>
        <w:t xml:space="preserve">Most supported housing does (</w:t>
      </w:r>
      <w:r>
        <w:rPr>
          <w:i/>
          <w:iCs/>
        </w:rPr>
        <w:t xml:space="preserve">Salford</w:t>
      </w:r>
      <w:r>
        <w:t xml:space="preserve">, para 66; Chapter 11, 11.6). SHP's position is that Housing Benefit-only funding is not contrivance.</w:t>
      </w:r>
    </w:p>
    <w:p>
      <w:pPr>
        <w:pStyle w:val="Compact"/>
        <w:numPr>
          <w:ilvl w:val="0"/>
          <w:numId w:val="1003"/>
        </w:numPr>
      </w:pPr>
      <w:r>
        <w:rPr>
          <w:b/>
          <w:bCs/>
        </w:rPr>
        <w:t xml:space="preserve">The scheme is lease-based.</w:t>
      </w:r>
      <w:r>
        <w:t xml:space="preserve"> </w:t>
      </w:r>
      <w:r>
        <w:t xml:space="preserve">There is "in principle nothing objectionable about that model" (</w:t>
      </w:r>
      <w:r>
        <w:rPr>
          <w:i/>
          <w:iCs/>
        </w:rPr>
        <w:t xml:space="preserve">FYE</w:t>
      </w:r>
      <w:r>
        <w:t xml:space="preserve">, para 11; DWP guidance, para 133).</w:t>
      </w:r>
    </w:p>
    <w:p>
      <w:pPr>
        <w:pStyle w:val="Compact"/>
        <w:numPr>
          <w:ilvl w:val="0"/>
          <w:numId w:val="1003"/>
        </w:numPr>
      </w:pPr>
      <w:r>
        <w:rPr>
          <w:b/>
          <w:bCs/>
        </w:rPr>
        <w:t xml:space="preserve">A lessor or contractor makes a commercial profit</w:t>
      </w:r>
      <w:r>
        <w:t xml:space="preserve"> </w:t>
      </w:r>
      <w:r>
        <w:t xml:space="preserve">under a genuine arm's length arrangement (</w:t>
      </w:r>
      <w:r>
        <w:rPr>
          <w:i/>
          <w:iCs/>
        </w:rPr>
        <w:t xml:space="preserve">Wirral BC v MF</w:t>
      </w:r>
      <w:r>
        <w:t xml:space="preserve">).</w:t>
      </w:r>
    </w:p>
    <w:p>
      <w:pPr>
        <w:pStyle w:val="Compact"/>
        <w:numPr>
          <w:ilvl w:val="0"/>
          <w:numId w:val="1003"/>
        </w:numPr>
      </w:pPr>
      <w:r>
        <w:rPr>
          <w:b/>
          <w:bCs/>
        </w:rPr>
        <w:t xml:space="preserve">The rent is higher than general needs rent</w:t>
      </w:r>
      <w:r>
        <w:t xml:space="preserve">, where it reflects the genuine higher costs of supported housing (</w:t>
      </w:r>
      <w:r>
        <w:rPr>
          <w:i/>
          <w:iCs/>
        </w:rPr>
        <w:t xml:space="preserve">Salford</w:t>
      </w:r>
      <w:r>
        <w:t xml:space="preserve">, paras 54 and 60).</w:t>
      </w:r>
    </w:p>
    <w:p>
      <w:pPr>
        <w:pStyle w:val="Compact"/>
        <w:numPr>
          <w:ilvl w:val="0"/>
          <w:numId w:val="1003"/>
        </w:numPr>
      </w:pPr>
      <w:r>
        <w:rPr>
          <w:b/>
          <w:bCs/>
        </w:rPr>
        <w:t xml:space="preserve">The provider deliberately set the scheme up as exempt accommodation</w:t>
      </w:r>
      <w:r>
        <w:t xml:space="preserve"> </w:t>
      </w:r>
      <w:r>
        <w:t xml:space="preserve">(</w:t>
      </w:r>
      <w:r>
        <w:rPr>
          <w:i/>
          <w:iCs/>
        </w:rPr>
        <w:t xml:space="preserve">Salford</w:t>
      </w:r>
      <w:r>
        <w:t xml:space="preserve">, para 53).</w:t>
      </w:r>
    </w:p>
    <w:p>
      <w:pPr>
        <w:pStyle w:val="Compact"/>
        <w:numPr>
          <w:ilvl w:val="0"/>
          <w:numId w:val="1003"/>
        </w:numPr>
      </w:pPr>
      <w:r>
        <w:rPr>
          <w:b/>
          <w:bCs/>
        </w:rPr>
        <w:t xml:space="preserve">The scheme is not commissioned.</w:t>
      </w:r>
      <w:r>
        <w:t xml:space="preserve"> </w:t>
      </w:r>
      <w:r>
        <w:t xml:space="preserve">Commissioning is not a condition of exempt status (Chapter 4, 4.2).</w:t>
      </w:r>
    </w:p>
    <w:p>
      <w:pPr>
        <w:pStyle w:val="Compact"/>
        <w:numPr>
          <w:ilvl w:val="0"/>
          <w:numId w:val="1003"/>
        </w:numPr>
      </w:pPr>
      <w:r>
        <w:rPr>
          <w:b/>
          <w:bCs/>
        </w:rPr>
        <w:t xml:space="preserve">A single low-weight indicator</w:t>
      </w:r>
      <w:r>
        <w:t xml:space="preserve">, such as rapid growth, without more.</w:t>
      </w:r>
    </w:p>
    <w:bookmarkEnd w:id="15"/>
    <w:bookmarkStart w:id="16" w:name="X699f794839f3b42ed7d376827e7b7b2f17ab7c9"/>
    <w:p>
      <w:pPr>
        <w:pStyle w:val="Heading2"/>
        <w:pageBreakBefore/>
        <w:pBdr>
          <w:bottom w:val="single" w:sz="12" w:space="4" w:color="FF9202"/>
        </w:pBdr>
      </w:pPr>
      <w:r>
        <w:t xml:space="preserve">Part E: Weighing the indicators and recording the decision</w:t>
      </w:r>
    </w:p>
    <w:p>
      <w:pPr>
        <w:pStyle w:val="FirstParagraph"/>
      </w:pPr>
      <w:r>
        <w:rPr>
          <w:b/>
          <w:bCs/>
        </w:rPr>
        <w:t xml:space="preserve">E1. When closer enquiry is justified.</w:t>
      </w:r>
      <w:r>
        <w:t xml:space="preserve"> </w:t>
      </w:r>
      <w:r>
        <w:t xml:space="preserve">As a guide, closer enquiry is justified where any high-weight indicator is marked</w:t>
      </w:r>
      <w:r>
        <w:t xml:space="preserve"> </w:t>
      </w:r>
      <w:r>
        <w:rPr>
          <w:b/>
          <w:bCs/>
        </w:rPr>
        <w:t xml:space="preserve">C</w:t>
      </w:r>
      <w:r>
        <w:t xml:space="preserve">, or where several medium-weight indicators are marked</w:t>
      </w:r>
      <w:r>
        <w:t xml:space="preserve"> </w:t>
      </w:r>
      <w:r>
        <w:rPr>
          <w:b/>
          <w:bCs/>
        </w:rPr>
        <w:t xml:space="preserve">C</w:t>
      </w:r>
      <w:r>
        <w:t xml:space="preserve"> </w:t>
      </w:r>
      <w:r>
        <w:t xml:space="preserve">and together suggest that the arrangement, rather than tenants' needs, explains the liability. This is SHP advice, not a legal threshold.</w:t>
      </w:r>
    </w:p>
    <w:p>
      <w:pPr>
        <w:pStyle w:val="BodyText"/>
      </w:pPr>
      <w:r>
        <w:rPr>
          <w:b/>
          <w:bCs/>
        </w:rPr>
        <w:t xml:space="preserve">E2. The process.</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841"/>
        <w:gridCol w:w="5144"/>
        <w:gridCol w:w="3367"/>
      </w:tblGrid>
      <w:tr>
        <w:trPr>
          <w:tblHeader w:val="on"/>
          <w:cantSplit/>
          <w:tblHeader w:val="true"/>
        </w:trPr>
        <w:tc>
          <w:tcPr>
            <w:tcW w:type="dxa" w:w="841"/>
            <w:shd w:val="clear" w:color="auto" w:fill="002F6D"/>
          </w:tcPr>
          <w:p>
            <w:pPr>
              <w:pStyle w:val="Compact"/>
            </w:pPr>
            <w:r>
              <w:rPr>
                <w:b/>
                <w:color w:val="FFFFFF"/>
              </w:rPr>
              <w:t xml:space="preserve">Order</w:t>
            </w:r>
          </w:p>
        </w:tc>
        <w:tc>
          <w:tcPr>
            <w:tcW w:type="dxa" w:w="5144"/>
            <w:shd w:val="clear" w:color="auto" w:fill="002F6D"/>
          </w:tcPr>
          <w:p>
            <w:pPr>
              <w:pStyle w:val="Compact"/>
            </w:pPr>
            <w:r>
              <w:rPr>
                <w:b/>
                <w:color w:val="FFFFFF"/>
              </w:rPr>
              <w:t xml:space="preserve">What to do</w:t>
            </w:r>
          </w:p>
        </w:tc>
        <w:tc>
          <w:tcPr>
            <w:tcW w:type="dxa" w:w="3367"/>
            <w:shd w:val="clear" w:color="auto" w:fill="002F6D"/>
          </w:tcPr>
          <w:p>
            <w:pPr>
              <w:pStyle w:val="Compact"/>
            </w:pPr>
            <w:r>
              <w:rPr>
                <w:b/>
                <w:color w:val="FFFFFF"/>
              </w:rPr>
              <w:t xml:space="preserve">Source</w:t>
            </w:r>
          </w:p>
        </w:tc>
      </w:tr>
      <w:tr>
        <w:trPr>
          <w:cantSplit/>
        </w:trPr>
        <w:tc>
          <w:tcPr>
            <w:tcW w:type="dxa" w:w="841"/>
          </w:tcPr>
          <w:p>
            <w:pPr>
              <w:pStyle w:val="Compact"/>
            </w:pPr>
            <w:r>
              <w:t xml:space="preserve">1</w:t>
            </w:r>
          </w:p>
        </w:tc>
        <w:tc>
          <w:tcPr>
            <w:tcW w:type="dxa" w:w="5144"/>
          </w:tcPr>
          <w:p>
            <w:pPr>
              <w:pStyle w:val="Compact"/>
            </w:pPr>
            <w:r>
              <w:t xml:space="preserve">Answer the Part A questions first</w:t>
            </w:r>
          </w:p>
        </w:tc>
        <w:tc>
          <w:tcPr>
            <w:tcW w:type="dxa" w:w="3367"/>
          </w:tcPr>
          <w:p>
            <w:pPr>
              <w:pStyle w:val="Compact"/>
            </w:pPr>
            <w:r>
              <w:t xml:space="preserve">Chapter 11, 11.3</w:t>
            </w:r>
          </w:p>
        </w:tc>
      </w:tr>
      <w:tr>
        <w:trPr>
          <w:cantSplit/>
        </w:trPr>
        <w:tc>
          <w:tcPr>
            <w:tcW w:type="dxa" w:w="841"/>
            <w:shd w:val="clear" w:color="auto" w:fill="E6ECF4"/>
          </w:tcPr>
          <w:p>
            <w:pPr>
              <w:pStyle w:val="Compact"/>
            </w:pPr>
            <w:r>
              <w:t xml:space="preserve">2</w:t>
            </w:r>
          </w:p>
        </w:tc>
        <w:tc>
          <w:tcPr>
            <w:tcW w:type="dxa" w:w="5144"/>
            <w:shd w:val="clear" w:color="auto" w:fill="E6ECF4"/>
          </w:tcPr>
          <w:p>
            <w:pPr>
              <w:pStyle w:val="Compact"/>
            </w:pPr>
            <w:r>
              <w:t xml:space="preserve">Use public sources: Companies House, the Charity Commission, the Regulator of Social Housing and Land Registry</w:t>
            </w:r>
          </w:p>
        </w:tc>
        <w:tc>
          <w:tcPr>
            <w:tcW w:type="dxa" w:w="3367"/>
            <w:shd w:val="clear" w:color="auto" w:fill="E6ECF4"/>
          </w:tcPr>
          <w:p>
            <w:pPr>
              <w:pStyle w:val="Compact"/>
            </w:pPr>
            <w:r>
              <w:t xml:space="preserve">DWP guidance, para 131</w:t>
            </w:r>
          </w:p>
        </w:tc>
      </w:tr>
      <w:tr>
        <w:trPr>
          <w:cantSplit/>
        </w:trPr>
        <w:tc>
          <w:tcPr>
            <w:tcW w:type="dxa" w:w="841"/>
          </w:tcPr>
          <w:p>
            <w:pPr>
              <w:pStyle w:val="Compact"/>
            </w:pPr>
            <w:r>
              <w:t xml:space="preserve">3</w:t>
            </w:r>
          </w:p>
        </w:tc>
        <w:tc>
          <w:tcPr>
            <w:tcW w:type="dxa" w:w="5144"/>
          </w:tcPr>
          <w:p>
            <w:pPr>
              <w:pStyle w:val="Compact"/>
            </w:pPr>
            <w:r>
              <w:t xml:space="preserve">Request only the further information that is reasonably required, explaining why</w:t>
            </w:r>
          </w:p>
        </w:tc>
        <w:tc>
          <w:tcPr>
            <w:tcW w:type="dxa" w:w="3367"/>
          </w:tcPr>
          <w:p>
            <w:pPr>
              <w:pStyle w:val="Compact"/>
            </w:pPr>
            <w:r>
              <w:t xml:space="preserve">Regulation 86; Appendix 9</w:t>
            </w:r>
          </w:p>
        </w:tc>
      </w:tr>
      <w:tr>
        <w:trPr>
          <w:cantSplit/>
        </w:trPr>
        <w:tc>
          <w:tcPr>
            <w:tcW w:type="dxa" w:w="841"/>
            <w:shd w:val="clear" w:color="auto" w:fill="E6ECF4"/>
          </w:tcPr>
          <w:p>
            <w:pPr>
              <w:pStyle w:val="Compact"/>
            </w:pPr>
            <w:r>
              <w:t xml:space="preserve">4</w:t>
            </w:r>
          </w:p>
        </w:tc>
        <w:tc>
          <w:tcPr>
            <w:tcW w:type="dxa" w:w="5144"/>
            <w:shd w:val="clear" w:color="auto" w:fill="E6ECF4"/>
          </w:tcPr>
          <w:p>
            <w:pPr>
              <w:pStyle w:val="Compact"/>
            </w:pPr>
            <w:r>
              <w:t xml:space="preserve">Find the facts, with the evidence for each, on the balance of probabilities</w:t>
            </w:r>
          </w:p>
        </w:tc>
        <w:tc>
          <w:tcPr>
            <w:tcW w:type="dxa" w:w="3367"/>
            <w:shd w:val="clear" w:color="auto" w:fill="E6ECF4"/>
          </w:tcPr>
          <w:p>
            <w:pPr>
              <w:pStyle w:val="Compact"/>
            </w:pPr>
            <w:r>
              <w:rPr>
                <w:i/>
                <w:iCs/>
              </w:rPr>
              <w:t xml:space="preserve">FYE</w:t>
            </w:r>
            <w:r>
              <w:t xml:space="preserve">, paras 25 and 35</w:t>
            </w:r>
          </w:p>
        </w:tc>
      </w:tr>
      <w:tr>
        <w:trPr>
          <w:cantSplit/>
        </w:trPr>
        <w:tc>
          <w:tcPr>
            <w:tcW w:type="dxa" w:w="841"/>
          </w:tcPr>
          <w:p>
            <w:pPr>
              <w:pStyle w:val="Compact"/>
            </w:pPr>
            <w:r>
              <w:t xml:space="preserve">5</w:t>
            </w:r>
          </w:p>
        </w:tc>
        <w:tc>
          <w:tcPr>
            <w:tcW w:type="dxa" w:w="5144"/>
          </w:tcPr>
          <w:p>
            <w:pPr>
              <w:pStyle w:val="Compact"/>
            </w:pPr>
            <w:r>
              <w:t xml:space="preserve">Put the concerns to the claimant and, with consent, the provider, and consider the response</w:t>
            </w:r>
          </w:p>
        </w:tc>
        <w:tc>
          <w:tcPr>
            <w:tcW w:type="dxa" w:w="3367"/>
          </w:tcPr>
          <w:p>
            <w:pPr>
              <w:pStyle w:val="Compact"/>
            </w:pPr>
            <w:r>
              <w:t xml:space="preserve">Chapter 11, 11.6</w:t>
            </w:r>
          </w:p>
        </w:tc>
      </w:tr>
      <w:tr>
        <w:trPr>
          <w:cantSplit/>
        </w:trPr>
        <w:tc>
          <w:tcPr>
            <w:tcW w:type="dxa" w:w="841"/>
            <w:shd w:val="clear" w:color="auto" w:fill="E6ECF4"/>
          </w:tcPr>
          <w:p>
            <w:pPr>
              <w:pStyle w:val="Compact"/>
            </w:pPr>
            <w:r>
              <w:t xml:space="preserve">6</w:t>
            </w:r>
          </w:p>
        </w:tc>
        <w:tc>
          <w:tcPr>
            <w:tcW w:type="dxa" w:w="5144"/>
            <w:shd w:val="clear" w:color="auto" w:fill="E6ECF4"/>
          </w:tcPr>
          <w:p>
            <w:pPr>
              <w:pStyle w:val="Compact"/>
            </w:pPr>
            <w:r>
              <w:t xml:space="preserve">Consider whether another tool deals with the concern more proportionately; if the evidence shows contrivance, regulation 9(1)(l) applies</w:t>
            </w:r>
          </w:p>
        </w:tc>
        <w:tc>
          <w:tcPr>
            <w:tcW w:type="dxa" w:w="3367"/>
            <w:shd w:val="clear" w:color="auto" w:fill="E6ECF4"/>
          </w:tcPr>
          <w:p>
            <w:pPr>
              <w:pStyle w:val="Compact"/>
            </w:pPr>
            <w:r>
              <w:rPr>
                <w:i/>
                <w:iCs/>
              </w:rPr>
              <w:t xml:space="preserve">Salford</w:t>
            </w:r>
            <w:r>
              <w:t xml:space="preserve">, para 58</w:t>
            </w:r>
          </w:p>
        </w:tc>
      </w:tr>
      <w:tr>
        <w:trPr>
          <w:cantSplit/>
        </w:trPr>
        <w:tc>
          <w:tcPr>
            <w:tcW w:type="dxa" w:w="841"/>
          </w:tcPr>
          <w:p>
            <w:pPr>
              <w:pStyle w:val="Compact"/>
            </w:pPr>
            <w:r>
              <w:t xml:space="preserve">7</w:t>
            </w:r>
          </w:p>
        </w:tc>
        <w:tc>
          <w:tcPr>
            <w:tcW w:type="dxa" w:w="5144"/>
          </w:tcPr>
          <w:p>
            <w:pPr>
              <w:pStyle w:val="Compact"/>
            </w:pPr>
            <w:r>
              <w:t xml:space="preserve">Make the evaluative judgment on the arrangement as a whole, at the time the liability was created</w:t>
            </w:r>
          </w:p>
        </w:tc>
        <w:tc>
          <w:tcPr>
            <w:tcW w:type="dxa" w:w="3367"/>
          </w:tcPr>
          <w:p>
            <w:pPr>
              <w:pStyle w:val="Compact"/>
            </w:pPr>
            <w:r>
              <w:rPr>
                <w:i/>
                <w:iCs/>
              </w:rPr>
              <w:t xml:space="preserve">FYE</w:t>
            </w:r>
            <w:r>
              <w:t xml:space="preserve">, paras 16 and 26</w:t>
            </w:r>
          </w:p>
        </w:tc>
      </w:tr>
      <w:tr>
        <w:trPr>
          <w:cantSplit/>
        </w:trPr>
        <w:tc>
          <w:tcPr>
            <w:tcW w:type="dxa" w:w="841"/>
            <w:shd w:val="clear" w:color="auto" w:fill="E6ECF4"/>
          </w:tcPr>
          <w:p>
            <w:pPr>
              <w:pStyle w:val="Compact"/>
            </w:pPr>
            <w:r>
              <w:t xml:space="preserve">8</w:t>
            </w:r>
          </w:p>
        </w:tc>
        <w:tc>
          <w:tcPr>
            <w:tcW w:type="dxa" w:w="5144"/>
            <w:shd w:val="clear" w:color="auto" w:fill="E6ECF4"/>
          </w:tcPr>
          <w:p>
            <w:pPr>
              <w:pStyle w:val="Compact"/>
            </w:pPr>
            <w:r>
              <w:t xml:space="preserve">Before any refusal takes effect, involve housing options and commissioners to protect tenants</w:t>
            </w:r>
          </w:p>
        </w:tc>
        <w:tc>
          <w:tcPr>
            <w:tcW w:type="dxa" w:w="3367"/>
            <w:shd w:val="clear" w:color="auto" w:fill="E6ECF4"/>
          </w:tcPr>
          <w:p>
            <w:pPr>
              <w:pStyle w:val="Compact"/>
            </w:pPr>
            <w:r>
              <w:t xml:space="preserve">Chapter 11, 11.6</w:t>
            </w:r>
          </w:p>
        </w:tc>
      </w:tr>
      <w:tr>
        <w:trPr>
          <w:cantSplit/>
        </w:trPr>
        <w:tc>
          <w:tcPr>
            <w:tcW w:type="dxa" w:w="841"/>
          </w:tcPr>
          <w:p>
            <w:pPr>
              <w:pStyle w:val="Compact"/>
            </w:pPr>
            <w:r>
              <w:t xml:space="preserve">9</w:t>
            </w:r>
          </w:p>
        </w:tc>
        <w:tc>
          <w:tcPr>
            <w:tcW w:type="dxa" w:w="5144"/>
          </w:tcPr>
          <w:p>
            <w:pPr>
              <w:pStyle w:val="Compact"/>
            </w:pPr>
            <w:r>
              <w:t xml:space="preserve">Notify each tenant, with reasons and appeal rights</w:t>
            </w:r>
          </w:p>
        </w:tc>
        <w:tc>
          <w:tcPr>
            <w:tcW w:type="dxa" w:w="3367"/>
          </w:tcPr>
          <w:p>
            <w:pPr>
              <w:pStyle w:val="Compact"/>
            </w:pPr>
            <w:r>
              <w:t xml:space="preserve">Chapter 19; Appendix 10</w:t>
            </w:r>
          </w:p>
        </w:tc>
      </w:tr>
    </w:tbl>
    <w:p>
      <w:pPr>
        <w:pStyle w:val="BodyText"/>
      </w:pPr>
      <w:r>
        <w:rPr>
          <w:b/>
          <w:bCs/>
        </w:rPr>
        <w:t xml:space="preserve">E3. Decision record.</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3928"/>
        <w:gridCol w:w="5425"/>
      </w:tblGrid>
      <w:tr>
        <w:trPr>
          <w:tblHeader w:val="on"/>
          <w:cantSplit/>
          <w:tblHeader w:val="true"/>
        </w:trPr>
        <w:tc>
          <w:tcPr>
            <w:tcW w:type="dxa" w:w="3928"/>
            <w:shd w:val="clear" w:color="auto" w:fill="002F6D"/>
          </w:tcPr>
          <w:p>
            <w:pPr>
              <w:pStyle w:val="Compact"/>
            </w:pPr>
            <w:r>
              <w:rPr>
                <w:b/>
                <w:color w:val="FFFFFF"/>
              </w:rPr>
              <w:t xml:space="preserve">Field</w:t>
            </w:r>
          </w:p>
        </w:tc>
        <w:tc>
          <w:tcPr>
            <w:tcW w:type="dxa" w:w="5425"/>
            <w:shd w:val="clear" w:color="auto" w:fill="002F6D"/>
          </w:tcPr>
          <w:p>
            <w:pPr>
              <w:pStyle w:val="Compact"/>
            </w:pPr>
            <w:r>
              <w:rPr>
                <w:b/>
                <w:color w:val="FFFFFF"/>
              </w:rPr>
              <w:t xml:space="preserve">Entry</w:t>
            </w:r>
          </w:p>
        </w:tc>
      </w:tr>
      <w:tr>
        <w:trPr>
          <w:cantSplit/>
        </w:trPr>
        <w:tc>
          <w:tcPr>
            <w:tcW w:type="dxa" w:w="3928"/>
          </w:tcPr>
          <w:p>
            <w:pPr>
              <w:pStyle w:val="Compact"/>
            </w:pPr>
            <w:r>
              <w:t xml:space="preserve">Scheme, provider and property owner</w:t>
            </w:r>
          </w:p>
        </w:tc>
        <w:tc>
          <w:tcPr>
            <w:tcW w:type="dxa" w:w="5425"/>
          </w:tcPr>
          <w:p>
            <w:pPr>
              <w:pStyle w:val="Compact"/>
            </w:pPr>
          </w:p>
        </w:tc>
      </w:tr>
      <w:tr>
        <w:trPr>
          <w:cantSplit/>
        </w:trPr>
        <w:tc>
          <w:tcPr>
            <w:tcW w:type="dxa" w:w="3928"/>
            <w:shd w:val="clear" w:color="auto" w:fill="E6ECF4"/>
          </w:tcPr>
          <w:p>
            <w:pPr>
              <w:pStyle w:val="Compact"/>
            </w:pPr>
            <w:r>
              <w:t xml:space="preserve">Date the liabilities under review were created</w:t>
            </w:r>
          </w:p>
        </w:tc>
        <w:tc>
          <w:tcPr>
            <w:tcW w:type="dxa" w:w="5425"/>
            <w:shd w:val="clear" w:color="auto" w:fill="E6ECF4"/>
          </w:tcPr>
          <w:p>
            <w:pPr>
              <w:pStyle w:val="Compact"/>
            </w:pPr>
          </w:p>
        </w:tc>
      </w:tr>
      <w:tr>
        <w:trPr>
          <w:cantSplit/>
        </w:trPr>
        <w:tc>
          <w:tcPr>
            <w:tcW w:type="dxa" w:w="3928"/>
          </w:tcPr>
          <w:p>
            <w:pPr>
              <w:pStyle w:val="Compact"/>
            </w:pPr>
            <w:r>
              <w:t xml:space="preserve">Part A questions: outcome of each</w:t>
            </w:r>
          </w:p>
        </w:tc>
        <w:tc>
          <w:tcPr>
            <w:tcW w:type="dxa" w:w="5425"/>
          </w:tcPr>
          <w:p>
            <w:pPr>
              <w:pStyle w:val="Compact"/>
            </w:pPr>
          </w:p>
        </w:tc>
      </w:tr>
      <w:tr>
        <w:trPr>
          <w:cantSplit/>
        </w:trPr>
        <w:tc>
          <w:tcPr>
            <w:tcW w:type="dxa" w:w="3928"/>
            <w:shd w:val="clear" w:color="auto" w:fill="E6ECF4"/>
          </w:tcPr>
          <w:p>
            <w:pPr>
              <w:pStyle w:val="Compact"/>
            </w:pPr>
            <w:r>
              <w:t xml:space="preserve">Indicators marked C, with the evidence for each</w:t>
            </w:r>
          </w:p>
        </w:tc>
        <w:tc>
          <w:tcPr>
            <w:tcW w:type="dxa" w:w="5425"/>
            <w:shd w:val="clear" w:color="auto" w:fill="E6ECF4"/>
          </w:tcPr>
          <w:p>
            <w:pPr>
              <w:pStyle w:val="Compact"/>
            </w:pPr>
          </w:p>
        </w:tc>
      </w:tr>
      <w:tr>
        <w:trPr>
          <w:cantSplit/>
        </w:trPr>
        <w:tc>
          <w:tcPr>
            <w:tcW w:type="dxa" w:w="3928"/>
          </w:tcPr>
          <w:p>
            <w:pPr>
              <w:pStyle w:val="Compact"/>
            </w:pPr>
            <w:r>
              <w:t xml:space="preserve">Indicators marked E, and the explanation accepted</w:t>
            </w:r>
          </w:p>
        </w:tc>
        <w:tc>
          <w:tcPr>
            <w:tcW w:type="dxa" w:w="5425"/>
          </w:tcPr>
          <w:p>
            <w:pPr>
              <w:pStyle w:val="Compact"/>
            </w:pPr>
          </w:p>
        </w:tc>
      </w:tr>
      <w:tr>
        <w:trPr>
          <w:cantSplit/>
        </w:trPr>
        <w:tc>
          <w:tcPr>
            <w:tcW w:type="dxa" w:w="3928"/>
            <w:shd w:val="clear" w:color="auto" w:fill="E6ECF4"/>
          </w:tcPr>
          <w:p>
            <w:pPr>
              <w:pStyle w:val="Compact"/>
            </w:pPr>
            <w:r>
              <w:t xml:space="preserve">Part C features present</w:t>
            </w:r>
          </w:p>
        </w:tc>
        <w:tc>
          <w:tcPr>
            <w:tcW w:type="dxa" w:w="5425"/>
            <w:shd w:val="clear" w:color="auto" w:fill="E6ECF4"/>
          </w:tcPr>
          <w:p>
            <w:pPr>
              <w:pStyle w:val="Compact"/>
            </w:pPr>
          </w:p>
        </w:tc>
      </w:tr>
      <w:tr>
        <w:trPr>
          <w:cantSplit/>
        </w:trPr>
        <w:tc>
          <w:tcPr>
            <w:tcW w:type="dxa" w:w="3928"/>
          </w:tcPr>
          <w:p>
            <w:pPr>
              <w:pStyle w:val="Compact"/>
            </w:pPr>
            <w:r>
              <w:t xml:space="preserve">Concerns put to the claimant and provider, date, and response</w:t>
            </w:r>
          </w:p>
        </w:tc>
        <w:tc>
          <w:tcPr>
            <w:tcW w:type="dxa" w:w="5425"/>
          </w:tcPr>
          <w:p>
            <w:pPr>
              <w:pStyle w:val="Compact"/>
            </w:pPr>
          </w:p>
        </w:tc>
      </w:tr>
      <w:tr>
        <w:trPr>
          <w:cantSplit/>
        </w:trPr>
        <w:tc>
          <w:tcPr>
            <w:tcW w:type="dxa" w:w="3928"/>
            <w:shd w:val="clear" w:color="auto" w:fill="E6ECF4"/>
          </w:tcPr>
          <w:p>
            <w:pPr>
              <w:pStyle w:val="Compact"/>
            </w:pPr>
            <w:r>
              <w:t xml:space="preserve">Other tools considered, and why they do or do not deal with the concern</w:t>
            </w:r>
          </w:p>
        </w:tc>
        <w:tc>
          <w:tcPr>
            <w:tcW w:type="dxa" w:w="5425"/>
            <w:shd w:val="clear" w:color="auto" w:fill="E6ECF4"/>
          </w:tcPr>
          <w:p>
            <w:pPr>
              <w:pStyle w:val="Compact"/>
            </w:pPr>
          </w:p>
        </w:tc>
      </w:tr>
      <w:tr>
        <w:trPr>
          <w:cantSplit/>
        </w:trPr>
        <w:tc>
          <w:tcPr>
            <w:tcW w:type="dxa" w:w="3928"/>
          </w:tcPr>
          <w:p>
            <w:pPr>
              <w:pStyle w:val="Compact"/>
            </w:pPr>
            <w:r>
              <w:t xml:space="preserve">Evaluative judgment, with reasons, on the arrangement as a whole</w:t>
            </w:r>
          </w:p>
        </w:tc>
        <w:tc>
          <w:tcPr>
            <w:tcW w:type="dxa" w:w="5425"/>
          </w:tcPr>
          <w:p>
            <w:pPr>
              <w:pStyle w:val="Compact"/>
            </w:pPr>
          </w:p>
        </w:tc>
      </w:tr>
      <w:tr>
        <w:trPr>
          <w:cantSplit/>
        </w:trPr>
        <w:tc>
          <w:tcPr>
            <w:tcW w:type="dxa" w:w="3928"/>
            <w:shd w:val="clear" w:color="auto" w:fill="E6ECF4"/>
          </w:tcPr>
          <w:p>
            <w:pPr>
              <w:pStyle w:val="Compact"/>
            </w:pPr>
            <w:r>
              <w:t xml:space="preserve">Plan for tenants</w:t>
            </w:r>
          </w:p>
        </w:tc>
        <w:tc>
          <w:tcPr>
            <w:tcW w:type="dxa" w:w="5425"/>
            <w:shd w:val="clear" w:color="auto" w:fill="E6ECF4"/>
          </w:tcPr>
          <w:p>
            <w:pPr>
              <w:pStyle w:val="Compact"/>
            </w:pPr>
          </w:p>
        </w:tc>
      </w:tr>
      <w:tr>
        <w:trPr>
          <w:cantSplit/>
        </w:trPr>
        <w:tc>
          <w:tcPr>
            <w:tcW w:type="dxa" w:w="3928"/>
          </w:tcPr>
          <w:p>
            <w:pPr>
              <w:pStyle w:val="Compact"/>
            </w:pPr>
            <w:r>
              <w:t xml:space="preserve">Decision-maker and date</w:t>
            </w:r>
          </w:p>
        </w:tc>
        <w:tc>
          <w:tcPr>
            <w:tcW w:type="dxa" w:w="5425"/>
          </w:tcPr>
          <w:p>
            <w:pPr>
              <w:pStyle w:val="Compact"/>
            </w:pPr>
          </w:p>
        </w:tc>
      </w:tr>
    </w:tbl>
    <w:bookmarkEnd w:id="16"/>
    <w:bookmarkStart w:id="17" w:name="part-f-worked-example"/>
    <w:p>
      <w:pPr>
        <w:pStyle w:val="Heading2"/>
        <w:pageBreakBefore/>
        <w:pBdr>
          <w:bottom w:val="single" w:sz="12" w:space="4" w:color="FF9202"/>
        </w:pBdr>
      </w:pPr>
      <w:r>
        <w:t xml:space="preserve">Part F: Worked example</w:t>
      </w:r>
    </w:p>
    <w:p>
      <w:pPr>
        <w:pStyle w:val="FirstParagraph"/>
      </w:pPr>
      <w:r>
        <w:t xml:space="preserve">Both schemes are fictional. Each has five-bedroom shared houses for single homeless people, leased from a private owner and with a similar rent. They show how the same model can be genuine in one case and contrived in another.</w:t>
      </w:r>
    </w:p>
    <w:tbl>
      <w:tblPr>
        <w:tblStyle w:val="Table"/>
        <w:tblW w:type="dxa" w:w="9354"/>
        <w:tblBorders>
          <w:top w:val="single" w:sz="4" w:space="0" w:color="C9D3E0"/>
          <w:left w:val="single" w:sz="4" w:space="0" w:color="C9D3E0"/>
          <w:bottom w:val="single" w:sz="4" w:space="0" w:color="C9D3E0"/>
          <w:right w:val="single" w:sz="4" w:space="0" w:color="C9D3E0"/>
          <w:insideH w:val="single" w:sz="4" w:space="0" w:color="C9D3E0"/>
          <w:insideV w:val="single" w:sz="4" w:space="0" w:color="C9D3E0"/>
        </w:tblBorders>
        <w:tblLook w:firstRow="1" w:lastRow="0" w:firstColumn="0" w:lastColumn="0" w:noHBand="0" w:noVBand="0" w:val="0020"/>
      </w:tblPr>
      <w:tblGrid>
        <w:gridCol w:w="2057"/>
        <w:gridCol w:w="3648"/>
        <w:gridCol w:w="3648"/>
      </w:tblGrid>
      <w:tr>
        <w:trPr>
          <w:tblHeader w:val="on"/>
          <w:cantSplit/>
          <w:tblHeader w:val="true"/>
        </w:trPr>
        <w:tc>
          <w:tcPr>
            <w:tcW w:type="dxa" w:w="2057"/>
            <w:shd w:val="clear" w:color="auto" w:fill="002F6D"/>
          </w:tcPr>
          <w:p>
            <w:pPr>
              <w:pStyle w:val="Compact"/>
            </w:pPr>
            <w:r>
              <w:rPr>
                <w:b/>
                <w:color w:val="FFFFFF"/>
              </w:rPr>
              <w:t xml:space="preserve">Feature</w:t>
            </w:r>
          </w:p>
        </w:tc>
        <w:tc>
          <w:tcPr>
            <w:tcW w:type="dxa" w:w="3648"/>
            <w:shd w:val="clear" w:color="auto" w:fill="002F6D"/>
          </w:tcPr>
          <w:p>
            <w:pPr>
              <w:pStyle w:val="Compact"/>
            </w:pPr>
            <w:r>
              <w:rPr>
                <w:b/>
                <w:color w:val="FFFFFF"/>
              </w:rPr>
              <w:t xml:space="preserve">Scheme A</w:t>
            </w:r>
          </w:p>
        </w:tc>
        <w:tc>
          <w:tcPr>
            <w:tcW w:type="dxa" w:w="3648"/>
            <w:shd w:val="clear" w:color="auto" w:fill="002F6D"/>
          </w:tcPr>
          <w:p>
            <w:pPr>
              <w:pStyle w:val="Compact"/>
            </w:pPr>
            <w:r>
              <w:rPr>
                <w:b/>
                <w:color w:val="FFFFFF"/>
              </w:rPr>
              <w:t xml:space="preserve">Scheme B</w:t>
            </w:r>
          </w:p>
        </w:tc>
      </w:tr>
      <w:tr>
        <w:trPr>
          <w:cantSplit/>
        </w:trPr>
        <w:tc>
          <w:tcPr>
            <w:tcW w:type="dxa" w:w="2057"/>
          </w:tcPr>
          <w:p>
            <w:pPr>
              <w:pStyle w:val="Compact"/>
            </w:pPr>
            <w:r>
              <w:t xml:space="preserve">Provider</w:t>
            </w:r>
          </w:p>
        </w:tc>
        <w:tc>
          <w:tcPr>
            <w:tcW w:type="dxa" w:w="3648"/>
          </w:tcPr>
          <w:p>
            <w:pPr>
              <w:pStyle w:val="Compact"/>
            </w:pPr>
            <w:r>
              <w:t xml:space="preserve">Registered charity with independent trustees, operating for 12 years</w:t>
            </w:r>
          </w:p>
        </w:tc>
        <w:tc>
          <w:tcPr>
            <w:tcW w:type="dxa" w:w="3648"/>
          </w:tcPr>
          <w:p>
            <w:pPr>
              <w:pStyle w:val="Compact"/>
            </w:pPr>
            <w:r>
              <w:t xml:space="preserve">CIC set up 18 months ago; its director is also a director of the property owner</w:t>
            </w:r>
          </w:p>
        </w:tc>
      </w:tr>
      <w:tr>
        <w:trPr>
          <w:cantSplit/>
        </w:trPr>
        <w:tc>
          <w:tcPr>
            <w:tcW w:type="dxa" w:w="2057"/>
            <w:shd w:val="clear" w:color="auto" w:fill="E6ECF4"/>
          </w:tcPr>
          <w:p>
            <w:pPr>
              <w:pStyle w:val="Compact"/>
            </w:pPr>
            <w:r>
              <w:t xml:space="preserve">Property</w:t>
            </w:r>
          </w:p>
        </w:tc>
        <w:tc>
          <w:tcPr>
            <w:tcW w:type="dxa" w:w="3648"/>
            <w:shd w:val="clear" w:color="auto" w:fill="E6ECF4"/>
          </w:tcPr>
          <w:p>
            <w:pPr>
              <w:pStyle w:val="Compact"/>
            </w:pPr>
            <w:r>
              <w:t xml:space="preserve">Owned by an unconnected private landlord since 2015</w:t>
            </w:r>
          </w:p>
        </w:tc>
        <w:tc>
          <w:tcPr>
            <w:tcW w:type="dxa" w:w="3648"/>
            <w:shd w:val="clear" w:color="auto" w:fill="E6ECF4"/>
          </w:tcPr>
          <w:p>
            <w:pPr>
              <w:pStyle w:val="Compact"/>
            </w:pPr>
            <w:r>
              <w:t xml:space="preserve">Bought by one company and sold the same month to a connected company at a 60% uplift, then leased</w:t>
            </w:r>
          </w:p>
        </w:tc>
      </w:tr>
      <w:tr>
        <w:trPr>
          <w:cantSplit/>
        </w:trPr>
        <w:tc>
          <w:tcPr>
            <w:tcW w:type="dxa" w:w="2057"/>
          </w:tcPr>
          <w:p>
            <w:pPr>
              <w:pStyle w:val="Compact"/>
            </w:pPr>
            <w:r>
              <w:t xml:space="preserve">Lease</w:t>
            </w:r>
          </w:p>
        </w:tc>
        <w:tc>
          <w:tcPr>
            <w:tcW w:type="dxa" w:w="3648"/>
          </w:tcPr>
          <w:p>
            <w:pPr>
              <w:pStyle w:val="Compact"/>
            </w:pPr>
            <w:r>
              <w:t xml:space="preserve">Ten years, break clause at year five, CPI uplift with a cap, landlord responsible for structural repairs</w:t>
            </w:r>
          </w:p>
        </w:tc>
        <w:tc>
          <w:tcPr>
            <w:tcW w:type="dxa" w:w="3648"/>
          </w:tcPr>
          <w:p>
            <w:pPr>
              <w:pStyle w:val="Compact"/>
            </w:pPr>
            <w:r>
              <w:t xml:space="preserve">25 years, no break clause, full repairing and insuring, uplifts of RPI plus 1%</w:t>
            </w:r>
          </w:p>
        </w:tc>
      </w:tr>
      <w:tr>
        <w:trPr>
          <w:cantSplit/>
        </w:trPr>
        <w:tc>
          <w:tcPr>
            <w:tcW w:type="dxa" w:w="2057"/>
            <w:shd w:val="clear" w:color="auto" w:fill="E6ECF4"/>
          </w:tcPr>
          <w:p>
            <w:pPr>
              <w:pStyle w:val="Compact"/>
            </w:pPr>
            <w:r>
              <w:t xml:space="preserve">Rent setting</w:t>
            </w:r>
          </w:p>
        </w:tc>
        <w:tc>
          <w:tcPr>
            <w:tcW w:type="dxa" w:w="3648"/>
            <w:shd w:val="clear" w:color="auto" w:fill="E6ECF4"/>
          </w:tcPr>
          <w:p>
            <w:pPr>
              <w:pStyle w:val="Compact"/>
            </w:pPr>
            <w:r>
              <w:t xml:space="preserve">Built up from costs (Appendix 8 model)</w:t>
            </w:r>
          </w:p>
        </w:tc>
        <w:tc>
          <w:tcPr>
            <w:tcW w:type="dxa" w:w="3648"/>
            <w:shd w:val="clear" w:color="auto" w:fill="E6ECF4"/>
          </w:tcPr>
          <w:p>
            <w:pPr>
              <w:pStyle w:val="Compact"/>
            </w:pPr>
            <w:r>
              <w:t xml:space="preserve">Head lease rent divided by five, plus a fixed "management fee"</w:t>
            </w:r>
          </w:p>
        </w:tc>
      </w:tr>
      <w:tr>
        <w:trPr>
          <w:cantSplit/>
        </w:trPr>
        <w:tc>
          <w:tcPr>
            <w:tcW w:type="dxa" w:w="2057"/>
          </w:tcPr>
          <w:p>
            <w:pPr>
              <w:pStyle w:val="Compact"/>
            </w:pPr>
            <w:r>
              <w:t xml:space="preserve">Funding of ineligible support</w:t>
            </w:r>
          </w:p>
        </w:tc>
        <w:tc>
          <w:tcPr>
            <w:tcW w:type="dxa" w:w="3648"/>
          </w:tcPr>
          <w:p>
            <w:pPr>
              <w:pStyle w:val="Compact"/>
            </w:pPr>
            <w:r>
              <w:t xml:space="preserve">Commissioned floating support and charitable fundraising</w:t>
            </w:r>
          </w:p>
        </w:tc>
        <w:tc>
          <w:tcPr>
            <w:tcW w:type="dxa" w:w="3648"/>
          </w:tcPr>
          <w:p>
            <w:pPr>
              <w:pStyle w:val="Compact"/>
            </w:pPr>
            <w:r>
              <w:t xml:space="preserve">Annual "donation" from the property owner, without which the CIC would be insolvent</w:t>
            </w:r>
          </w:p>
        </w:tc>
      </w:tr>
      <w:tr>
        <w:trPr>
          <w:cantSplit/>
        </w:trPr>
        <w:tc>
          <w:tcPr>
            <w:tcW w:type="dxa" w:w="2057"/>
            <w:shd w:val="clear" w:color="auto" w:fill="E6ECF4"/>
          </w:tcPr>
          <w:p>
            <w:pPr>
              <w:pStyle w:val="Compact"/>
            </w:pPr>
            <w:r>
              <w:t xml:space="preserve">Referrals</w:t>
            </w:r>
          </w:p>
        </w:tc>
        <w:tc>
          <w:tcPr>
            <w:tcW w:type="dxa" w:w="3648"/>
            <w:shd w:val="clear" w:color="auto" w:fill="E6ECF4"/>
          </w:tcPr>
          <w:p>
            <w:pPr>
              <w:pStyle w:val="Compact"/>
            </w:pPr>
            <w:r>
              <w:t xml:space="preserve">Council-approved referral route; needs assessed before move-in</w:t>
            </w:r>
          </w:p>
        </w:tc>
        <w:tc>
          <w:tcPr>
            <w:tcW w:type="dxa" w:w="3648"/>
            <w:shd w:val="clear" w:color="auto" w:fill="E6ECF4"/>
          </w:tcPr>
          <w:p>
            <w:pPr>
              <w:pStyle w:val="Compact"/>
            </w:pPr>
            <w:r>
              <w:t xml:space="preserve">Self-referrals and referrals from a property agency; no assessments on file</w:t>
            </w:r>
          </w:p>
        </w:tc>
      </w:tr>
      <w:tr>
        <w:trPr>
          <w:cantSplit/>
        </w:trPr>
        <w:tc>
          <w:tcPr>
            <w:tcW w:type="dxa" w:w="2057"/>
          </w:tcPr>
          <w:p>
            <w:pPr>
              <w:pStyle w:val="Compact"/>
            </w:pPr>
            <w:r>
              <w:t xml:space="preserve">Governance</w:t>
            </w:r>
          </w:p>
        </w:tc>
        <w:tc>
          <w:tcPr>
            <w:tcW w:type="dxa" w:w="3648"/>
          </w:tcPr>
          <w:p>
            <w:pPr>
              <w:pStyle w:val="Compact"/>
            </w:pPr>
            <w:r>
              <w:t xml:space="preserve">Conflict of interest policy; no payments to trustees</w:t>
            </w:r>
          </w:p>
        </w:tc>
        <w:tc>
          <w:tcPr>
            <w:tcW w:type="dxa" w:w="3648"/>
          </w:tcPr>
          <w:p>
            <w:pPr>
              <w:pStyle w:val="Compact"/>
            </w:pPr>
            <w:r>
              <w:t xml:space="preserve">Director's fees paid by the CIC; no conflict register</w:t>
            </w:r>
          </w:p>
        </w:tc>
      </w:tr>
      <w:tr>
        <w:trPr>
          <w:cantSplit/>
        </w:trPr>
        <w:tc>
          <w:tcPr>
            <w:tcW w:type="dxa" w:w="2057"/>
            <w:shd w:val="clear" w:color="auto" w:fill="E6ECF4"/>
          </w:tcPr>
          <w:p>
            <w:pPr>
              <w:pStyle w:val="Compact"/>
            </w:pPr>
            <w:r>
              <w:t xml:space="preserve">Indicators marked C</w:t>
            </w:r>
          </w:p>
        </w:tc>
        <w:tc>
          <w:tcPr>
            <w:tcW w:type="dxa" w:w="3648"/>
            <w:shd w:val="clear" w:color="auto" w:fill="E6ECF4"/>
          </w:tcPr>
          <w:p>
            <w:pPr>
              <w:pStyle w:val="Compact"/>
            </w:pPr>
            <w:r>
              <w:t xml:space="preserve">None. B3.1 and B5.4 marked E</w:t>
            </w:r>
          </w:p>
        </w:tc>
        <w:tc>
          <w:tcPr>
            <w:tcW w:type="dxa" w:w="3648"/>
            <w:shd w:val="clear" w:color="auto" w:fill="E6ECF4"/>
          </w:tcPr>
          <w:p>
            <w:pPr>
              <w:pStyle w:val="Compact"/>
            </w:pPr>
            <w:r>
              <w:t xml:space="preserve">B1.1, B1.3, B1.4, B2.1, B3.1, B3.3, B4.1, B4.2, B5.1</w:t>
            </w:r>
          </w:p>
        </w:tc>
      </w:tr>
      <w:tr>
        <w:trPr>
          <w:cantSplit/>
        </w:trPr>
        <w:tc>
          <w:tcPr>
            <w:tcW w:type="dxa" w:w="2057"/>
          </w:tcPr>
          <w:p>
            <w:pPr>
              <w:pStyle w:val="Compact"/>
            </w:pPr>
            <w:r>
              <w:t xml:space="preserve">Outcome</w:t>
            </w:r>
          </w:p>
        </w:tc>
        <w:tc>
          <w:tcPr>
            <w:tcW w:type="dxa" w:w="3648"/>
          </w:tcPr>
          <w:p>
            <w:pPr>
              <w:pStyle w:val="Compact"/>
            </w:pPr>
            <w:r>
              <w:t xml:space="preserve">No contrivance enquiry needed. Ordinary scheme review (Chapter 13)</w:t>
            </w:r>
          </w:p>
        </w:tc>
        <w:tc>
          <w:tcPr>
            <w:tcW w:type="dxa" w:w="3648"/>
          </w:tcPr>
          <w:p>
            <w:pPr>
              <w:pStyle w:val="Compact"/>
            </w:pPr>
            <w:r>
              <w:t xml:space="preserve">Closer enquiry justified. Part A steps 2 and 3 should be considered first, then the evaluative judgment under regulation 9(1)(l)</w:t>
            </w:r>
          </w:p>
        </w:tc>
      </w:tr>
    </w:tbl>
    <w:p>
      <w:pPr>
        <w:pStyle w:val="BodyText"/>
      </w:pPr>
      <w:r>
        <w:t xml:space="preserve">In Scheme B, the funding of support from the owner's donation alone mirrors the fact found sufficient in</w:t>
      </w:r>
      <w:r>
        <w:t xml:space="preserve"> </w:t>
      </w:r>
      <w:r>
        <w:rPr>
          <w:i/>
          <w:iCs/>
        </w:rPr>
        <w:t xml:space="preserve">FYE</w:t>
      </w:r>
      <w:r>
        <w:t xml:space="preserve"> </w:t>
      </w:r>
      <w:r>
        <w:t xml:space="preserve">(First-tier Tribunal, para 114). The council would still need to find the facts on evidence, put its concerns to the tenants and the provider, and make the judgment on the arrangement as a whole.</w:t>
      </w:r>
    </w:p>
    <w:bookmarkEnd w:id="17"/>
    <w:bookmarkEnd w:id="18"/>
    <w:sectPr>
      <w:headerReference w:type="default" r:id="rId13"/>
      <w:footerReference w:type="default" r:id="rId14"/>
      <w:footerReference w:type="first" r:id="rId15"/>
      <w:footnotePr>
        <w:numRestart w:val="eachSect"/>
      </w:footnotePr>
      <w:pgSz w:w="11906" w:h="16838"/>
      <w:pgMar w:left="1304" w:right="1304" w:top="1417" w:bottom="1134" w:header="567" w:footer="510" w:gutter="0"/>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6470"/>
        <w:sz w:val="17"/>
      </w:rPr>
      <w:t xml:space="preserve">Supported Housing People  |  supportedhousing.blog  |  Page </w:t>
    </w:r>
    <w:r>
      <w:rPr>
        <w:color w:val="5B6470"/>
        <w:sz w:val="17"/>
      </w:rPr>
      <w:fldChar w:fldCharType="begin"/>
      <w:instrText xml:space="preserve">PAGE</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4649" w:val="left"/>
        <w:tab w:pos="9298" w:val="right"/>
      </w:tabs>
    </w:pPr>
    <w:r>
      <w:drawing>
        <wp:inline xmlns:a="http://schemas.openxmlformats.org/drawingml/2006/main" xmlns:pic="http://schemas.openxmlformats.org/drawingml/2006/picture">
          <wp:extent cx="913500" cy="288000"/>
          <wp:docPr id="1" name="Picture 1"/>
          <wp:cNvGraphicFramePr>
            <a:graphicFrameLocks noChangeAspect="1"/>
          </wp:cNvGraphicFramePr>
          <a:graphic>
            <a:graphicData uri="http://schemas.openxmlformats.org/drawingml/2006/picture">
              <pic:pic>
                <pic:nvPicPr>
                  <pic:cNvPr id="0" name="shp_logo.png"/>
                  <pic:cNvPicPr/>
                </pic:nvPicPr>
                <pic:blipFill>
                  <a:blip r:embed="rId1"/>
                  <a:stretch>
                    <a:fillRect/>
                  </a:stretch>
                </pic:blipFill>
                <pic:spPr>
                  <a:xfrm>
                    <a:off x="0" y="0"/>
                    <a:ext cx="913500" cy="288000"/>
                  </a:xfrm>
                  <a:prstGeom prst="rect"/>
                </pic:spPr>
              </pic:pic>
            </a:graphicData>
          </a:graphic>
        </wp:inline>
      </w:drawing>
    </w:r>
    <w:r>
      <w:tab/>
      <w:tab/>
    </w:r>
    <w:r>
      <w:rPr>
        <w:color w:val="5B6470"/>
        <w:sz w:val="17"/>
      </w:rPr>
      <w:t>HB Good Practice Manual | Appendix 11 Template</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00" w:line="269" w:lineRule="auto"/>
    </w:pPr>
    <w:rPr>
      <w:rFonts w:ascii="Calibri" w:hAnsi="Calibri" w:eastAsia="Calibri" w:cs="Calibri"/>
      <w:color w:val="1F242B"/>
      <w:sz w:val="21"/>
    </w:rPr>
  </w:style>
  <w:style w:styleId="BodyText" w:type="paragraph">
    <w:name w:val="Body Text"/>
    <w:basedOn w:val="Normal"/>
    <w:link w:val="BodyTextChar"/>
    <w:qFormat/>
    <w:pPr>
      <w:spacing w:after="100" w:before="180" w:line="269" w:lineRule="auto"/>
    </w:pPr>
    <w:rPr>
      <w:rFonts w:ascii="Calibri" w:hAnsi="Calibri" w:eastAsia="Calibri" w:cs="Calibri"/>
      <w:color w:val="1F242B"/>
      <w:sz w:val="21"/>
    </w:rPr>
  </w:style>
  <w:style w:customStyle="1" w:styleId="FirstParagraph" w:type="paragraph">
    <w:name w:val="First Paragraph"/>
    <w:basedOn w:val="BodyText"/>
    <w:next w:val="BodyText"/>
    <w:qFormat/>
    <w:pPr>
      <w:spacing w:after="100" w:line="269" w:lineRule="auto"/>
    </w:pPr>
    <w:rPr>
      <w:rFonts w:ascii="Calibri" w:hAnsi="Calibri" w:eastAsia="Calibri" w:cs="Calibri"/>
      <w:color w:val="1F242B"/>
      <w:sz w:val="21"/>
    </w:rPr>
  </w:style>
  <w:style w:customStyle="1" w:styleId="Compact" w:type="paragraph">
    <w:name w:val="Compact"/>
    <w:basedOn w:val="BodyText"/>
    <w:qFormat/>
    <w:pPr>
      <w:spacing w:after="100" w:before="36" w:line="269" w:lineRule="auto"/>
    </w:pPr>
    <w:rPr>
      <w:rFonts w:ascii="Calibri" w:hAnsi="Calibri" w:eastAsia="Calibri" w:cs="Calibri"/>
      <w:color w:val="1F242B"/>
      <w:sz w:val="21"/>
    </w:rPr>
  </w:style>
  <w:style w:styleId="Title" w:type="paragraph">
    <w:name w:val="Title"/>
    <w:basedOn w:val="Normal"/>
    <w:next w:val="BodyText"/>
    <w:link w:val="TitleChar"/>
    <w:uiPriority w:val="10"/>
    <w:qFormat/>
    <w:rsid w:val="00A10FD9"/>
    <w:pPr>
      <w:keepNext/>
      <w:spacing w:after="80" w:line="240" w:lineRule="auto" w:before="180"/>
      <w:contextualSpacing/>
      <w:jc w:val="center"/>
    </w:pPr>
    <w:rPr>
      <w:rFonts w:ascii="Calibri" w:hAnsi="Calibri" w:eastAsia="Calibri" w:cs="Calibri"/>
      <w:b/>
      <w:i w:val="0"/>
      <w:color w:val="002F6D"/>
      <w:sz w:val="48"/>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180"/>
      <w:outlineLvl w:val="0"/>
    </w:pPr>
    <w:rPr>
      <w:rFonts w:ascii="Calibri" w:hAnsi="Calibri" w:eastAsia="Calibri" w:cs="Calibri"/>
      <w:b/>
      <w:i w:val="0"/>
      <w:color w:val="002F6D"/>
      <w:sz w:val="44"/>
      <w:szCs w:val="40"/>
    </w:rPr>
  </w:style>
  <w:style w:styleId="Heading2" w:type="paragraph">
    <w:name w:val="heading 2"/>
    <w:basedOn w:val="Normal"/>
    <w:next w:val="BodyText"/>
    <w:link w:val="Heading2Char"/>
    <w:uiPriority w:val="9"/>
    <w:semiHidden/>
    <w:unhideWhenUsed/>
    <w:qFormat/>
    <w:rsid w:val="00A10FD9"/>
    <w:pPr>
      <w:keepNext/>
      <w:keepLines/>
      <w:spacing w:after="80" w:before="280"/>
      <w:outlineLvl w:val="1"/>
    </w:pPr>
    <w:rPr>
      <w:rFonts w:ascii="Calibri" w:hAnsi="Calibri" w:eastAsia="Calibri" w:cs="Calibri"/>
      <w:b/>
      <w:i w:val="0"/>
      <w:color w:val="002F6D"/>
      <w:sz w:val="34"/>
      <w:szCs w:val="32"/>
    </w:rPr>
  </w:style>
  <w:style w:styleId="Heading3" w:type="paragraph">
    <w:name w:val="heading 3"/>
    <w:basedOn w:val="Normal"/>
    <w:next w:val="BodyText"/>
    <w:link w:val="Heading3Char"/>
    <w:uiPriority w:val="9"/>
    <w:semiHidden/>
    <w:unhideWhenUsed/>
    <w:qFormat/>
    <w:rsid w:val="00A10FD9"/>
    <w:pPr>
      <w:keepNext/>
      <w:keepLines/>
      <w:spacing w:after="80" w:before="280"/>
      <w:outlineLvl w:val="2"/>
    </w:pPr>
    <w:rPr>
      <w:rFonts w:ascii="Calibri" w:hAnsi="Calibri" w:eastAsia="Calibri" w:cs="Calibri"/>
      <w:b/>
      <w:i w:val="0"/>
      <w:color w:val="002F6D"/>
      <w:sz w:val="28"/>
      <w:szCs w:val="28"/>
    </w:rPr>
  </w:style>
  <w:style w:styleId="Heading4" w:type="paragraph">
    <w:name w:val="heading 4"/>
    <w:basedOn w:val="Normal"/>
    <w:next w:val="BodyText"/>
    <w:link w:val="Heading4Char"/>
    <w:uiPriority w:val="9"/>
    <w:semiHidden/>
    <w:unhideWhenUsed/>
    <w:qFormat/>
    <w:rsid w:val="00A10FD9"/>
    <w:pPr>
      <w:keepNext/>
      <w:keepLines/>
      <w:spacing w:after="80" w:before="180"/>
      <w:outlineLvl w:val="3"/>
    </w:pPr>
    <w:rPr>
      <w:rFonts w:ascii="Calibri" w:hAnsi="Calibri" w:eastAsia="Calibri" w:cs="Calibri"/>
      <w:b/>
      <w:i w:val="0"/>
      <w:iCs/>
      <w:color w:val="FF9202"/>
      <w:sz w:val="24"/>
    </w:rPr>
  </w:style>
  <w:style w:styleId="Heading5" w:type="paragraph">
    <w:name w:val="heading 5"/>
    <w:basedOn w:val="Normal"/>
    <w:next w:val="BodyText"/>
    <w:link w:val="Heading5Char"/>
    <w:uiPriority w:val="9"/>
    <w:semiHidden/>
    <w:unhideWhenUsed/>
    <w:qFormat/>
    <w:rsid w:val="00A10FD9"/>
    <w:pPr>
      <w:keepNext/>
      <w:keepLines/>
      <w:spacing w:after="80" w:before="180"/>
      <w:outlineLvl w:val="4"/>
    </w:pPr>
    <w:rPr>
      <w:rFonts w:ascii="Calibri" w:hAnsi="Calibri" w:eastAsia="Calibri" w:cs="Calibri"/>
      <w:b/>
      <w:i w:val="0"/>
      <w:color w:val="002F6D"/>
      <w:sz w:val="22"/>
    </w:rPr>
  </w:style>
  <w:style w:styleId="Heading6" w:type="paragraph">
    <w:name w:val="heading 6"/>
    <w:basedOn w:val="Normal"/>
    <w:next w:val="BodyText"/>
    <w:link w:val="Heading6Char"/>
    <w:uiPriority w:val="9"/>
    <w:semiHidden/>
    <w:unhideWhenUsed/>
    <w:qFormat/>
    <w:rsid w:val="00A10FD9"/>
    <w:pPr>
      <w:keepNext/>
      <w:keepLines/>
      <w:spacing w:after="80" w:before="180"/>
      <w:outlineLvl w:val="5"/>
    </w:pPr>
    <w:rPr>
      <w:rFonts w:ascii="Calibri" w:hAnsi="Calibri" w:eastAsia="Calibri" w:cs="Calibri"/>
      <w:b/>
      <w:i w:val="0"/>
      <w:iCs/>
      <w:color w:val="002F6D"/>
      <w:sz w:val="21"/>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Calibri" w:hAnsi="Calibri" w:eastAsia="Calibri" w:cs="Calibri"/>
      <w:color w:val="002F6D"/>
      <w:sz w:val="21"/>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7" Type="http://schemas.openxmlformats.org/officeDocument/2006/relationships/styles" Target="styles.xml"/><Relationship Id="rId6" Type="http://schemas.openxmlformats.org/officeDocument/2006/relationships/settings" Target="settings.xml"/><Relationship Id="rId5" Type="http://schemas.openxmlformats.org/officeDocument/2006/relationships/webSettings" Target="webSettings.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footnotes" Target="footnotes.xml"/><Relationship Id="rId1" Type="http://schemas.openxmlformats.org/officeDocument/2006/relationships/comments" Target="comments.xml"/><Relationship Id="rId9" Type="http://schemas.openxmlformats.org/officeDocument/2006/relationships/hyperlink" Target="https://creativecommons.org/licenses/by/4.0/" TargetMode="External"/><Relationship Id="rId11" Type="http://schemas.openxmlformats.org/officeDocument/2006/relationships/hyperlink" Target="https://supportedhousing.blog/2026/04/24/the-end-of-the-property-led-exempt-accommodation-contrivance/" TargetMode="External"/><Relationship Id="rId10" Type="http://schemas.openxmlformats.org/officeDocument/2006/relationships/hyperlink" Target="https://supportedhousing.blog/manual/" TargetMode="External"/><Relationship Id="rId12" Type="http://schemas.openxmlformats.org/officeDocument/2006/relationships/image" Target="media/image1.png"/><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s>
</file>

<file path=word/_rels/footnotes.xml.rels><?xml version='1.0' encoding='UTF-8' standalone='yes'?>
<Relationships xmlns="http://schemas.openxmlformats.org/package/2006/relationships"><Relationship Id="rId9" Type="http://schemas.openxmlformats.org/officeDocument/2006/relationships/hyperlink" Target="https://creativecommons.org/licenses/by/4.0/" TargetMode="External"/><Relationship Id="rId11" Type="http://schemas.openxmlformats.org/officeDocument/2006/relationships/hyperlink" Target="https://supportedhousing.blog/2026/04/24/the-end-of-the-property-led-exempt-accommodation-contrivance/" TargetMode="External"/><Relationship Id="rId10" Type="http://schemas.openxmlformats.org/officeDocument/2006/relationships/hyperlink" Target="https://supportedhousing.blog/manua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2026-10-13T15:41:08Z</dcterms:created>
  <dcterms:modified xsi:type="dcterms:W3CDTF">2026-10-13T15:41:08Z</dcterms:modified>
</cp:coreProperties>
</file>

<file path=docProps/custom.xml><?xml version="1.0" encoding="utf-8"?>
<Properties xmlns="http://schemas.openxmlformats.org/officeDocument/2006/custom-properties" xmlns:vt="http://schemas.openxmlformats.org/officeDocument/2006/docPropsVTypes"/>
</file>