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appendix-4-scheme-evidence-checklist"/>
    <w:p>
      <w:r>
        <w:drawing>
          <wp:inline>
            <wp:extent cx="2160000" cy="680985"/>
            <wp:docPr id="1" name="Picture 1"/>
            <wp:cNvGraphicFramePr>
              <a:graphicFrameLocks noChangeAspect="1"/>
            </wp:cNvGraphicFramePr>
            <a:graphic>
              <a:graphicData uri="http://schemas.openxmlformats.org/drawingml/2006/picture">
                <pic:pic>
                  <pic:nvPicPr>
                    <pic:cNvPr id="0" name="shp_logo.png"/>
                    <pic:cNvPicPr/>
                  </pic:nvPicPr>
                  <pic:blipFill>
                    <a:blip r:embed="rId11"/>
                    <a:stretch>
                      <a:fillRect/>
                    </a:stretch>
                  </pic:blipFill>
                  <pic:spPr>
                    <a:xfrm>
                      <a:off x="0" y="0"/>
                      <a:ext cx="2160000" cy="680985"/>
                    </a:xfrm>
                    <a:prstGeom prst="rect"/>
                  </pic:spPr>
                </pic:pic>
              </a:graphicData>
            </a:graphic>
          </wp:inline>
        </w:drawing>
      </w:r>
    </w:p>
    <w:p>
      <w:pPr>
        <w:spacing w:after="600"/>
      </w:pPr>
      <w:r>
        <w:rPr>
          <w:b/>
          <w:color w:val="FF9202"/>
          <w:sz w:val="22"/>
        </w:rPr>
        <w:t>Supported Housing Expertise</w:t>
      </w:r>
    </w:p>
    <w:p>
      <w:pPr>
        <w:pStyle w:val="Heading1"/>
      </w:pPr>
      <w:r>
        <w:t xml:space="preserve">Appendix 4: Scheme Evidence Checklist</w:t>
      </w:r>
    </w:p>
    <w:p>
      <w:pPr>
        <w:pStyle w:val="FirstParagraph"/>
      </w:pPr>
      <w:r>
        <w:t xml:space="preserve">A template from</w:t>
      </w:r>
      <w:r>
        <w:t xml:space="preserve"> </w:t>
      </w:r>
      <w:r>
        <w:rPr>
          <w:i/>
          <w:iCs/>
        </w:rPr>
        <w:t xml:space="preserve">Managing Housing Benefit Claims in Supported Housing</w:t>
      </w:r>
      <w:r>
        <w:t xml:space="preserve">, Supported Housing People Ltd, Version 1.0, October 2026.</w:t>
      </w:r>
    </w:p>
    <w:p>
      <w:pPr>
        <w:pStyle w:val="BlockText"/>
        <w:pBdr>
          <w:left w:val="single" w:sz="24" w:space="8" w:color="FF9202"/>
        </w:pBdr>
        <w:shd w:val="clear" w:color="auto" w:fill="EEF2F8"/>
        <w:spacing w:after="0" w:before="0"/>
        <w:ind w:left="227" w:right="113"/>
      </w:pPr>
      <w:r>
        <w:rPr>
          <w:b/>
          <w:bCs/>
        </w:rPr>
        <w:t xml:space="preserve">Free to adapt.</w:t>
      </w:r>
      <w:r>
        <w:t xml:space="preserve"> </w:t>
      </w:r>
      <w:r>
        <w:t xml:space="preserve">You can change this template to suit your organisation, add your own logo, remove the SHP branding and share your version, including commercially. Please credit SHP, say that you have changed it, and do not suggest that SHP has approved your version.</w:t>
      </w:r>
    </w:p>
    <w:p>
      <w:pPr>
        <w:pStyle w:val="BlockText"/>
        <w:pBdr>
          <w:left w:val="single" w:sz="24" w:space="8" w:color="FF9202"/>
        </w:pBdr>
        <w:shd w:val="clear" w:color="auto" w:fill="EEF2F8"/>
        <w:spacing w:after="0" w:before="0"/>
        <w:ind w:left="227" w:right="113"/>
      </w:pPr>
      <w:r>
        <w:rPr>
          <w:b/>
          <w:bCs/>
        </w:rPr>
        <w:t xml:space="preserve">Credit:</w:t>
      </w:r>
      <w:r>
        <w:t xml:space="preserve"> </w:t>
      </w:r>
      <w:r>
        <w:t xml:space="preserve">Adapted from</w:t>
      </w:r>
      <w:r>
        <w:t xml:space="preserve"> </w:t>
      </w:r>
      <w:r>
        <w:rPr>
          <w:i/>
          <w:iCs/>
        </w:rPr>
        <w:t xml:space="preserve">Managing Housing Benefit Claims in Supported Housing</w:t>
      </w:r>
      <w:r>
        <w:t xml:space="preserve">, Appendix 4, Supported Housing People Ltd, October 2026. Licensed under</w:t>
      </w:r>
      <w:r>
        <w:t xml:space="preserve"> </w:t>
      </w:r>
      <w:hyperlink r:id="rId9">
        <w:r>
          <w:rPr>
            <w:rStyle w:val="Hyperlink"/>
          </w:rPr>
          <w:t xml:space="preserve">CC BY 4.0</w:t>
        </w:r>
      </w:hyperlink>
      <w:r>
        <w:t xml:space="preserve">. Changes have been made.</w:t>
      </w:r>
    </w:p>
    <w:p>
      <w:pPr>
        <w:pStyle w:val="BlockText"/>
        <w:pBdr>
          <w:left w:val="single" w:sz="24" w:space="8" w:color="FF9202"/>
        </w:pBdr>
        <w:shd w:val="clear" w:color="auto" w:fill="EEF2F8"/>
        <w:spacing w:after="0" w:before="0"/>
        <w:ind w:left="227" w:right="113"/>
      </w:pPr>
      <w:r>
        <w:t xml:space="preserve">Chapter references are to the manual, which is free to read at</w:t>
      </w:r>
      <w:r>
        <w:t xml:space="preserve"> </w:t>
      </w:r>
      <w:hyperlink r:id="rId10">
        <w:r>
          <w:rPr>
            <w:rStyle w:val="Hyperlink"/>
          </w:rPr>
          <w:t xml:space="preserve">supportedhousing.blog/manual</w:t>
        </w:r>
      </w:hyperlink>
      <w:r>
        <w:t xml:space="preserve">.</w:t>
      </w:r>
    </w:p>
    <w:p>
      <w:pPr>
        <w:pStyle w:val="FirstParagraph"/>
      </w:pPr>
      <w:r>
        <w:t xml:space="preserve">This appendix turns Chapter 13 into two working checklists:</w:t>
      </w:r>
    </w:p>
    <w:p>
      <w:pPr>
        <w:pStyle w:val="Compact"/>
        <w:numPr>
          <w:ilvl w:val="0"/>
          <w:numId w:val="1001"/>
        </w:numPr>
      </w:pPr>
      <w:r>
        <w:rPr>
          <w:b/>
          <w:bCs/>
        </w:rPr>
        <w:t xml:space="preserve">Part A, the provider version:</w:t>
      </w:r>
      <w:r>
        <w:t xml:space="preserve"> </w:t>
      </w:r>
      <w:r>
        <w:t xml:space="preserve">what to put in a scheme evidence pack before the first claim at a scheme.</w:t>
      </w:r>
    </w:p>
    <w:p>
      <w:pPr>
        <w:pStyle w:val="Compact"/>
        <w:numPr>
          <w:ilvl w:val="0"/>
          <w:numId w:val="1001"/>
        </w:numPr>
      </w:pPr>
      <w:r>
        <w:rPr>
          <w:b/>
          <w:bCs/>
        </w:rPr>
        <w:t xml:space="preserve">Part B, the council version:</w:t>
      </w:r>
      <w:r>
        <w:t xml:space="preserve"> </w:t>
      </w:r>
      <w:r>
        <w:t xml:space="preserve">the questions the Housing Benefit team answers from that pack, where to look first, and what a proportionate answer looks like.</w:t>
      </w:r>
    </w:p>
    <w:p>
      <w:pPr>
        <w:pStyle w:val="FirstParagraph"/>
      </w:pPr>
      <w:r>
        <w:t xml:space="preserve">Part C is a one-page record sheet for the council's scheme file. Both parties can use the same item numbers, so that "complete" means the same thing to each.</w:t>
      </w:r>
    </w:p>
    <w:p>
      <w:pPr>
        <w:pStyle w:val="BodyText"/>
      </w:pPr>
      <w:r>
        <w:rPr>
          <w:b/>
          <w:bCs/>
        </w:rPr>
        <w:t xml:space="preserve">How to use the checklists.</w:t>
      </w:r>
    </w:p>
    <w:p>
      <w:pPr>
        <w:pStyle w:val="Compact"/>
        <w:numPr>
          <w:ilvl w:val="0"/>
          <w:numId w:val="1002"/>
        </w:numPr>
      </w:pPr>
      <w:r>
        <w:rPr>
          <w:b/>
          <w:bCs/>
        </w:rPr>
        <w:t xml:space="preserve">Once, then reviewed.</w:t>
      </w:r>
      <w:r>
        <w:t xml:space="preserve"> </w:t>
      </w:r>
      <w:r>
        <w:t xml:space="preserve">Scheme evidence is provided once, kept on the scheme file and reviewed annually or when something changes. It should not be requested again with every claim (Chapter 13).</w:t>
      </w:r>
    </w:p>
    <w:p>
      <w:pPr>
        <w:pStyle w:val="Compact"/>
        <w:numPr>
          <w:ilvl w:val="0"/>
          <w:numId w:val="1002"/>
        </w:numPr>
      </w:pPr>
      <w:r>
        <w:rPr>
          <w:b/>
          <w:bCs/>
        </w:rPr>
        <w:t xml:space="preserve">Reasonably required.</w:t>
      </w:r>
      <w:r>
        <w:t xml:space="preserve"> </w:t>
      </w:r>
      <w:r>
        <w:t xml:space="preserve">Every request is made under regulation 86(1) and must be "reasonably required" (Chapter 12, 12.1). The checklists are a menu, not a minimum: ask only for what the scheme's facts make relevant.</w:t>
      </w:r>
    </w:p>
    <w:p>
      <w:pPr>
        <w:pStyle w:val="Compact"/>
        <w:numPr>
          <w:ilvl w:val="0"/>
          <w:numId w:val="1002"/>
        </w:numPr>
      </w:pPr>
      <w:r>
        <w:rPr>
          <w:b/>
          <w:bCs/>
        </w:rPr>
        <w:t xml:space="preserve">Council records first.</w:t>
      </w:r>
      <w:r>
        <w:t xml:space="preserve"> </w:t>
      </w:r>
      <w:r>
        <w:t xml:space="preserve">Information the council can find for itself, on public registers or from its own commissioning and housing options teams, should not be counted against the claimant (</w:t>
      </w:r>
      <w:r>
        <w:rPr>
          <w:i/>
          <w:iCs/>
        </w:rPr>
        <w:t xml:space="preserve">Kerr v Department for Social Development</w:t>
      </w:r>
      <w:r>
        <w:t xml:space="preserve"> </w:t>
      </w:r>
      <w:r>
        <w:t xml:space="preserve">[2004] UKHL 23, para 63).</w:t>
      </w:r>
    </w:p>
    <w:p>
      <w:pPr>
        <w:pStyle w:val="Compact"/>
        <w:numPr>
          <w:ilvl w:val="0"/>
          <w:numId w:val="1002"/>
        </w:numPr>
      </w:pPr>
      <w:r>
        <w:rPr>
          <w:b/>
          <w:bCs/>
        </w:rPr>
        <w:t xml:space="preserve">No single item decides entitlement.</w:t>
      </w:r>
      <w:r>
        <w:t xml:space="preserve"> </w:t>
      </w:r>
      <w:r>
        <w:t xml:space="preserve">A missing item is a reason to ask, not a reason to refuse. Each claim is still decided on its own facts (DWP guidance, para 210).</w:t>
      </w:r>
    </w:p>
    <w:p>
      <w:pPr>
        <w:pStyle w:val="Compact"/>
        <w:numPr>
          <w:ilvl w:val="0"/>
          <w:numId w:val="1002"/>
        </w:numPr>
      </w:pPr>
      <w:r>
        <w:rPr>
          <w:b/>
          <w:bCs/>
        </w:rPr>
        <w:t xml:space="preserve">Confidentiality.</w:t>
      </w:r>
      <w:r>
        <w:t xml:space="preserve"> </w:t>
      </w:r>
      <w:r>
        <w:t xml:space="preserve">Lease and financial information can be commercially sensitive. Councils should hold it securely and limit who sees it, in line with the UK GDPR and the council's records policy (Chapter 12, 12.6).</w:t>
      </w:r>
    </w:p>
    <w:p>
      <w:pPr>
        <w:pStyle w:val="Compact"/>
        <w:numPr>
          <w:ilvl w:val="0"/>
          <w:numId w:val="1002"/>
        </w:numPr>
      </w:pPr>
      <w:r>
        <w:rPr>
          <w:b/>
          <w:bCs/>
        </w:rPr>
        <w:t xml:space="preserve">SHP's position.</w:t>
      </w:r>
      <w:r>
        <w:t xml:space="preserve"> </w:t>
      </w:r>
      <w:r>
        <w:t xml:space="preserve">One agreed pack, shared once and reviewed together, is the most effective way for councils and providers to reduce delay, cost and dispute. It is a tool for agreement, not a test to be passed.</w:t>
      </w:r>
    </w:p>
    <w:bookmarkStart w:id="17" w:name="Xbfabada7e5c828754569086e87cfaafda5f21cf"/>
    <w:p>
      <w:pPr>
        <w:pStyle w:val="Heading2"/>
        <w:pBdr>
          <w:bottom w:val="single" w:sz="12" w:space="4" w:color="FF9202"/>
        </w:pBdr>
      </w:pPr>
      <w:r>
        <w:t xml:space="preserve">Part A: Provider version (scheme evidence pack)</w:t>
      </w:r>
    </w:p>
    <w:p>
      <w:pPr>
        <w:pStyle w:val="FirstParagraph"/>
      </w:pPr>
      <w:r>
        <w:t xml:space="preserve">Tick each item as it is added to the pack. Mark items that do not apply "N/A" with a short reason. Send changes without waiting to be asked.</w:t>
      </w:r>
    </w:p>
    <w:bookmarkStart w:id="11" w:name="a1-the-landlord-and-its-governance"/>
    <w:p>
      <w:pPr>
        <w:pStyle w:val="Heading3"/>
      </w:pPr>
      <w:r>
        <w:t xml:space="preserve">A1. The landlord and its governance</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1964"/>
        <w:gridCol w:w="4583"/>
        <w:gridCol w:w="1216"/>
        <w:gridCol w:w="841"/>
      </w:tblGrid>
      <w:tr>
        <w:trPr>
          <w:tblHeader w:val="on"/>
          <w:cantSplit/>
          <w:tblHeader w:val="true"/>
        </w:trPr>
        <w:tc>
          <w:tcPr>
            <w:tcW w:type="dxa" w:w="748"/>
            <w:shd w:val="clear" w:color="auto" w:fill="002F6D"/>
          </w:tcPr>
          <w:p>
            <w:pPr>
              <w:pStyle w:val="Compact"/>
            </w:pPr>
            <w:r>
              <w:rPr>
                <w:b/>
                <w:color w:val="FFFFFF"/>
              </w:rPr>
              <w:t xml:space="preserve">No.</w:t>
            </w:r>
          </w:p>
        </w:tc>
        <w:tc>
          <w:tcPr>
            <w:tcW w:type="dxa" w:w="1964"/>
            <w:shd w:val="clear" w:color="auto" w:fill="002F6D"/>
          </w:tcPr>
          <w:p>
            <w:pPr>
              <w:pStyle w:val="Compact"/>
            </w:pPr>
            <w:r>
              <w:rPr>
                <w:b/>
                <w:color w:val="FFFFFF"/>
              </w:rPr>
              <w:t xml:space="preserve">Item</w:t>
            </w:r>
          </w:p>
        </w:tc>
        <w:tc>
          <w:tcPr>
            <w:tcW w:type="dxa" w:w="4583"/>
            <w:shd w:val="clear" w:color="auto" w:fill="002F6D"/>
          </w:tcPr>
          <w:p>
            <w:pPr>
              <w:pStyle w:val="Compact"/>
            </w:pPr>
            <w:r>
              <w:rPr>
                <w:b/>
                <w:color w:val="FFFFFF"/>
              </w:rPr>
              <w:t xml:space="preserve">What to include</w:t>
            </w:r>
          </w:p>
        </w:tc>
        <w:tc>
          <w:tcPr>
            <w:tcW w:type="dxa" w:w="1216"/>
            <w:shd w:val="clear" w:color="auto" w:fill="002F6D"/>
          </w:tcPr>
          <w:p>
            <w:pPr>
              <w:pStyle w:val="Compact"/>
            </w:pPr>
            <w:r>
              <w:rPr>
                <w:b/>
                <w:color w:val="FFFFFF"/>
              </w:rPr>
              <w:t xml:space="preserve">Review</w:t>
            </w:r>
          </w:p>
        </w:tc>
        <w:tc>
          <w:tcPr>
            <w:tcW w:type="dxa" w:w="841"/>
            <w:shd w:val="clear" w:color="auto" w:fill="002F6D"/>
          </w:tcPr>
          <w:p>
            <w:pPr>
              <w:pStyle w:val="Compact"/>
            </w:pPr>
            <w:r>
              <w:rPr>
                <w:b/>
                <w:color w:val="FFFFFF"/>
              </w:rPr>
              <w:t xml:space="preserve">Done</w:t>
            </w:r>
          </w:p>
        </w:tc>
      </w:tr>
      <w:tr>
        <w:trPr>
          <w:cantSplit/>
        </w:trPr>
        <w:tc>
          <w:tcPr>
            <w:tcW w:type="dxa" w:w="748"/>
          </w:tcPr>
          <w:p>
            <w:pPr>
              <w:pStyle w:val="Compact"/>
            </w:pPr>
            <w:r>
              <w:t xml:space="preserve">A1.1</w:t>
            </w:r>
          </w:p>
        </w:tc>
        <w:tc>
          <w:tcPr>
            <w:tcW w:type="dxa" w:w="1964"/>
          </w:tcPr>
          <w:p>
            <w:pPr>
              <w:pStyle w:val="Compact"/>
            </w:pPr>
            <w:r>
              <w:t xml:space="preserve">Register entries</w:t>
            </w:r>
          </w:p>
        </w:tc>
        <w:tc>
          <w:tcPr>
            <w:tcW w:type="dxa" w:w="4583"/>
          </w:tcPr>
          <w:p>
            <w:pPr>
              <w:pStyle w:val="Compact"/>
            </w:pPr>
            <w:r>
              <w:t xml:space="preserve">Links to the landlord's entry on the RSH list of registered providers, the Charity Commission or OSCR register, Companies House or the FCA mutuals register, as applicable</w:t>
            </w:r>
          </w:p>
        </w:tc>
        <w:tc>
          <w:tcPr>
            <w:tcW w:type="dxa" w:w="1216"/>
          </w:tcPr>
          <w:p>
            <w:pPr>
              <w:pStyle w:val="Compact"/>
            </w:pPr>
            <w:r>
              <w:t xml:space="preserve">Annually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A1.2</w:t>
            </w:r>
          </w:p>
        </w:tc>
        <w:tc>
          <w:tcPr>
            <w:tcW w:type="dxa" w:w="1964"/>
            <w:shd w:val="clear" w:color="auto" w:fill="E6ECF4"/>
          </w:tcPr>
          <w:p>
            <w:pPr>
              <w:pStyle w:val="Compact"/>
            </w:pPr>
            <w:r>
              <w:t xml:space="preserve">Constitution or articles</w:t>
            </w:r>
          </w:p>
        </w:tc>
        <w:tc>
          <w:tcPr>
            <w:tcW w:type="dxa" w:w="4583"/>
            <w:shd w:val="clear" w:color="auto" w:fill="E6ECF4"/>
          </w:tcPr>
          <w:p>
            <w:pPr>
              <w:pStyle w:val="Compact"/>
            </w:pPr>
            <w:r>
              <w:t xml:space="preserve">Current version, highlighting objects, the asset lock and any restriction on distributing profits</w:t>
            </w:r>
          </w:p>
        </w:tc>
        <w:tc>
          <w:tcPr>
            <w:tcW w:type="dxa" w:w="1216"/>
            <w:shd w:val="clear" w:color="auto" w:fill="E6ECF4"/>
          </w:tcPr>
          <w:p>
            <w:pPr>
              <w:pStyle w:val="Compact"/>
            </w:pPr>
            <w:r>
              <w:t xml:space="preserve">On change</w:t>
            </w:r>
          </w:p>
        </w:tc>
        <w:tc>
          <w:tcPr>
            <w:tcW w:type="dxa" w:w="841"/>
            <w:shd w:val="clear" w:color="auto" w:fill="E6ECF4"/>
          </w:tcPr>
          <w:p>
            <w:pPr>
              <w:pStyle w:val="Compact"/>
            </w:pPr>
            <w:r>
              <w:t xml:space="preserve">☐</w:t>
            </w:r>
          </w:p>
        </w:tc>
      </w:tr>
      <w:tr>
        <w:trPr>
          <w:cantSplit/>
        </w:trPr>
        <w:tc>
          <w:tcPr>
            <w:tcW w:type="dxa" w:w="748"/>
          </w:tcPr>
          <w:p>
            <w:pPr>
              <w:pStyle w:val="Compact"/>
            </w:pPr>
            <w:r>
              <w:t xml:space="preserve">A1.3</w:t>
            </w:r>
          </w:p>
        </w:tc>
        <w:tc>
          <w:tcPr>
            <w:tcW w:type="dxa" w:w="1964"/>
          </w:tcPr>
          <w:p>
            <w:pPr>
              <w:pStyle w:val="Compact"/>
            </w:pPr>
            <w:r>
              <w:t xml:space="preserve">Accounts</w:t>
            </w:r>
          </w:p>
        </w:tc>
        <w:tc>
          <w:tcPr>
            <w:tcW w:type="dxa" w:w="4583"/>
          </w:tcPr>
          <w:p>
            <w:pPr>
              <w:pStyle w:val="Compact"/>
            </w:pPr>
            <w:r>
              <w:t xml:space="preserve">Latest filed accounts, or a summary for smaller bodies; a scheme budget for a new provider</w:t>
            </w:r>
          </w:p>
        </w:tc>
        <w:tc>
          <w:tcPr>
            <w:tcW w:type="dxa" w:w="1216"/>
          </w:tcPr>
          <w:p>
            <w:pPr>
              <w:pStyle w:val="Compact"/>
            </w:pPr>
            <w:r>
              <w:t xml:space="preserve">Annually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A1.4</w:t>
            </w:r>
          </w:p>
        </w:tc>
        <w:tc>
          <w:tcPr>
            <w:tcW w:type="dxa" w:w="1964"/>
            <w:shd w:val="clear" w:color="auto" w:fill="E6ECF4"/>
          </w:tcPr>
          <w:p>
            <w:pPr>
              <w:pStyle w:val="Compact"/>
            </w:pPr>
            <w:r>
              <w:t xml:space="preserve">Related-party statement</w:t>
            </w:r>
          </w:p>
        </w:tc>
        <w:tc>
          <w:tcPr>
            <w:tcW w:type="dxa" w:w="4583"/>
            <w:shd w:val="clear" w:color="auto" w:fill="E6ECF4"/>
          </w:tcPr>
          <w:p>
            <w:pPr>
              <w:pStyle w:val="Compact"/>
            </w:pPr>
            <w:r>
              <w:t xml:space="preserve">Payments to directors, trustees and connected parties, and how they are approved</w:t>
            </w:r>
          </w:p>
        </w:tc>
        <w:tc>
          <w:tcPr>
            <w:tcW w:type="dxa" w:w="1216"/>
            <w:shd w:val="clear" w:color="auto" w:fill="E6ECF4"/>
          </w:tcPr>
          <w:p>
            <w:pPr>
              <w:pStyle w:val="Compact"/>
            </w:pPr>
            <w:r>
              <w:t xml:space="preserve">Annually</w:t>
            </w:r>
          </w:p>
        </w:tc>
        <w:tc>
          <w:tcPr>
            <w:tcW w:type="dxa" w:w="841"/>
            <w:shd w:val="clear" w:color="auto" w:fill="E6ECF4"/>
          </w:tcPr>
          <w:p>
            <w:pPr>
              <w:pStyle w:val="Compact"/>
            </w:pPr>
            <w:r>
              <w:t xml:space="preserve">☐</w:t>
            </w:r>
          </w:p>
        </w:tc>
      </w:tr>
      <w:tr>
        <w:trPr>
          <w:cantSplit/>
        </w:trPr>
        <w:tc>
          <w:tcPr>
            <w:tcW w:type="dxa" w:w="748"/>
          </w:tcPr>
          <w:p>
            <w:pPr>
              <w:pStyle w:val="Compact"/>
            </w:pPr>
            <w:r>
              <w:t xml:space="preserve">A1.5</w:t>
            </w:r>
          </w:p>
        </w:tc>
        <w:tc>
          <w:tcPr>
            <w:tcW w:type="dxa" w:w="1964"/>
          </w:tcPr>
          <w:p>
            <w:pPr>
              <w:pStyle w:val="Compact"/>
            </w:pPr>
            <w:r>
              <w:t xml:space="preserve">Governance statement</w:t>
            </w:r>
          </w:p>
        </w:tc>
        <w:tc>
          <w:tcPr>
            <w:tcW w:type="dxa" w:w="4583"/>
          </w:tcPr>
          <w:p>
            <w:pPr>
              <w:pStyle w:val="Compact"/>
            </w:pPr>
            <w:r>
              <w:t xml:space="preserve">Board members, relevant skills, how conflicts are managed, and any regulatory findings or notices (one or two pages)</w:t>
            </w:r>
          </w:p>
        </w:tc>
        <w:tc>
          <w:tcPr>
            <w:tcW w:type="dxa" w:w="1216"/>
          </w:tcPr>
          <w:p>
            <w:pPr>
              <w:pStyle w:val="Compact"/>
            </w:pPr>
            <w:r>
              <w:t xml:space="preserve">Annually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A1.6</w:t>
            </w:r>
          </w:p>
        </w:tc>
        <w:tc>
          <w:tcPr>
            <w:tcW w:type="dxa" w:w="1964"/>
            <w:shd w:val="clear" w:color="auto" w:fill="E6ECF4"/>
          </w:tcPr>
          <w:p>
            <w:pPr>
              <w:pStyle w:val="Compact"/>
            </w:pPr>
            <w:r>
              <w:t xml:space="preserve">Why not registered</w:t>
            </w:r>
          </w:p>
        </w:tc>
        <w:tc>
          <w:tcPr>
            <w:tcW w:type="dxa" w:w="4583"/>
            <w:shd w:val="clear" w:color="auto" w:fill="E6ECF4"/>
          </w:tcPr>
          <w:p>
            <w:pPr>
              <w:pStyle w:val="Compact"/>
            </w:pPr>
            <w:r>
              <w:t xml:space="preserve">For an unregistered housing association only: a short explanation (DWP guidance, para 98)</w:t>
            </w:r>
          </w:p>
        </w:tc>
        <w:tc>
          <w:tcPr>
            <w:tcW w:type="dxa" w:w="1216"/>
            <w:shd w:val="clear" w:color="auto" w:fill="E6ECF4"/>
          </w:tcPr>
          <w:p>
            <w:pPr>
              <w:pStyle w:val="Compact"/>
            </w:pPr>
            <w:r>
              <w:t xml:space="preserve">On change</w:t>
            </w:r>
          </w:p>
        </w:tc>
        <w:tc>
          <w:tcPr>
            <w:tcW w:type="dxa" w:w="841"/>
            <w:shd w:val="clear" w:color="auto" w:fill="E6ECF4"/>
          </w:tcPr>
          <w:p>
            <w:pPr>
              <w:pStyle w:val="Compact"/>
            </w:pPr>
            <w:r>
              <w:t xml:space="preserve">☐</w:t>
            </w:r>
          </w:p>
        </w:tc>
      </w:tr>
    </w:tbl>
    <w:bookmarkEnd w:id="11"/>
    <w:bookmarkStart w:id="12" w:name="a2-the-property-and-lease-arrangements"/>
    <w:p>
      <w:pPr>
        <w:pStyle w:val="Heading3"/>
      </w:pPr>
      <w:r>
        <w:t xml:space="preserve">A2. The property and lease arrangements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1964"/>
        <w:gridCol w:w="4583"/>
        <w:gridCol w:w="1216"/>
        <w:gridCol w:w="841"/>
      </w:tblGrid>
      <w:tr>
        <w:trPr>
          <w:tblHeader w:val="on"/>
          <w:cantSplit/>
          <w:tblHeader w:val="true"/>
        </w:trPr>
        <w:tc>
          <w:tcPr>
            <w:tcW w:type="dxa" w:w="748"/>
            <w:shd w:val="clear" w:color="auto" w:fill="002F6D"/>
          </w:tcPr>
          <w:p>
            <w:pPr>
              <w:pStyle w:val="Compact"/>
            </w:pPr>
            <w:r>
              <w:rPr>
                <w:b/>
                <w:color w:val="FFFFFF"/>
              </w:rPr>
              <w:t xml:space="preserve">No.</w:t>
            </w:r>
          </w:p>
        </w:tc>
        <w:tc>
          <w:tcPr>
            <w:tcW w:type="dxa" w:w="1964"/>
            <w:shd w:val="clear" w:color="auto" w:fill="002F6D"/>
          </w:tcPr>
          <w:p>
            <w:pPr>
              <w:pStyle w:val="Compact"/>
            </w:pPr>
            <w:r>
              <w:rPr>
                <w:b/>
                <w:color w:val="FFFFFF"/>
              </w:rPr>
              <w:t xml:space="preserve">Item</w:t>
            </w:r>
          </w:p>
        </w:tc>
        <w:tc>
          <w:tcPr>
            <w:tcW w:type="dxa" w:w="4583"/>
            <w:shd w:val="clear" w:color="auto" w:fill="002F6D"/>
          </w:tcPr>
          <w:p>
            <w:pPr>
              <w:pStyle w:val="Compact"/>
            </w:pPr>
            <w:r>
              <w:rPr>
                <w:b/>
                <w:color w:val="FFFFFF"/>
              </w:rPr>
              <w:t xml:space="preserve">What to include</w:t>
            </w:r>
          </w:p>
        </w:tc>
        <w:tc>
          <w:tcPr>
            <w:tcW w:type="dxa" w:w="1216"/>
            <w:shd w:val="clear" w:color="auto" w:fill="002F6D"/>
          </w:tcPr>
          <w:p>
            <w:pPr>
              <w:pStyle w:val="Compact"/>
            </w:pPr>
            <w:r>
              <w:rPr>
                <w:b/>
                <w:color w:val="FFFFFF"/>
              </w:rPr>
              <w:t xml:space="preserve">Review</w:t>
            </w:r>
          </w:p>
        </w:tc>
        <w:tc>
          <w:tcPr>
            <w:tcW w:type="dxa" w:w="841"/>
            <w:shd w:val="clear" w:color="auto" w:fill="002F6D"/>
          </w:tcPr>
          <w:p>
            <w:pPr>
              <w:pStyle w:val="Compact"/>
            </w:pPr>
            <w:r>
              <w:rPr>
                <w:b/>
                <w:color w:val="FFFFFF"/>
              </w:rPr>
              <w:t xml:space="preserve">Done</w:t>
            </w:r>
          </w:p>
        </w:tc>
      </w:tr>
      <w:tr>
        <w:trPr>
          <w:cantSplit/>
        </w:trPr>
        <w:tc>
          <w:tcPr>
            <w:tcW w:type="dxa" w:w="748"/>
          </w:tcPr>
          <w:p>
            <w:pPr>
              <w:pStyle w:val="Compact"/>
            </w:pPr>
            <w:r>
              <w:t xml:space="preserve">A2.1</w:t>
            </w:r>
          </w:p>
        </w:tc>
        <w:tc>
          <w:tcPr>
            <w:tcW w:type="dxa" w:w="1964"/>
          </w:tcPr>
          <w:p>
            <w:pPr>
              <w:pStyle w:val="Compact"/>
            </w:pPr>
            <w:r>
              <w:t xml:space="preserve">Property schedule</w:t>
            </w:r>
          </w:p>
        </w:tc>
        <w:tc>
          <w:tcPr>
            <w:tcW w:type="dxa" w:w="4583"/>
          </w:tcPr>
          <w:p>
            <w:pPr>
              <w:pStyle w:val="Compact"/>
            </w:pPr>
            <w:r>
              <w:t xml:space="preserve">Each address, number of units or bedspaces, shared facilities, and the owner of each property</w:t>
            </w:r>
          </w:p>
        </w:tc>
        <w:tc>
          <w:tcPr>
            <w:tcW w:type="dxa" w:w="1216"/>
          </w:tcPr>
          <w:p>
            <w:pPr>
              <w:pStyle w:val="Compact"/>
            </w:pPr>
            <w:r>
              <w:t xml:space="preserve">On change</w:t>
            </w:r>
          </w:p>
        </w:tc>
        <w:tc>
          <w:tcPr>
            <w:tcW w:type="dxa" w:w="841"/>
          </w:tcPr>
          <w:p>
            <w:pPr>
              <w:pStyle w:val="Compact"/>
            </w:pPr>
            <w:r>
              <w:t xml:space="preserve">☐</w:t>
            </w:r>
          </w:p>
        </w:tc>
      </w:tr>
      <w:tr>
        <w:trPr>
          <w:cantSplit/>
        </w:trPr>
        <w:tc>
          <w:tcPr>
            <w:tcW w:type="dxa" w:w="748"/>
            <w:shd w:val="clear" w:color="auto" w:fill="E6ECF4"/>
          </w:tcPr>
          <w:p>
            <w:pPr>
              <w:pStyle w:val="Compact"/>
            </w:pPr>
            <w:r>
              <w:t xml:space="preserve">A2.2</w:t>
            </w:r>
          </w:p>
        </w:tc>
        <w:tc>
          <w:tcPr>
            <w:tcW w:type="dxa" w:w="1964"/>
            <w:shd w:val="clear" w:color="auto" w:fill="E6ECF4"/>
          </w:tcPr>
          <w:p>
            <w:pPr>
              <w:pStyle w:val="Compact"/>
            </w:pPr>
            <w:r>
              <w:t xml:space="preserve">Lease schedule</w:t>
            </w:r>
          </w:p>
        </w:tc>
        <w:tc>
          <w:tcPr>
            <w:tcW w:type="dxa" w:w="4583"/>
            <w:shd w:val="clear" w:color="auto" w:fill="E6ECF4"/>
          </w:tcPr>
          <w:p>
            <w:pPr>
              <w:pStyle w:val="Compact"/>
            </w:pPr>
            <w:r>
              <w:t xml:space="preserve">For each lease: start date, length, rent, uplift basis, repairing obligations and break clauses</w:t>
            </w:r>
          </w:p>
        </w:tc>
        <w:tc>
          <w:tcPr>
            <w:tcW w:type="dxa" w:w="1216"/>
            <w:shd w:val="clear" w:color="auto" w:fill="E6ECF4"/>
          </w:tcPr>
          <w:p>
            <w:pPr>
              <w:pStyle w:val="Compact"/>
            </w:pPr>
            <w:r>
              <w:t xml:space="preserve">On change</w:t>
            </w:r>
          </w:p>
        </w:tc>
        <w:tc>
          <w:tcPr>
            <w:tcW w:type="dxa" w:w="841"/>
            <w:shd w:val="clear" w:color="auto" w:fill="E6ECF4"/>
          </w:tcPr>
          <w:p>
            <w:pPr>
              <w:pStyle w:val="Compact"/>
            </w:pPr>
            <w:r>
              <w:t xml:space="preserve">☐</w:t>
            </w:r>
          </w:p>
        </w:tc>
      </w:tr>
      <w:tr>
        <w:trPr>
          <w:cantSplit/>
        </w:trPr>
        <w:tc>
          <w:tcPr>
            <w:tcW w:type="dxa" w:w="748"/>
          </w:tcPr>
          <w:p>
            <w:pPr>
              <w:pStyle w:val="Compact"/>
            </w:pPr>
            <w:r>
              <w:t xml:space="preserve">A2.3</w:t>
            </w:r>
          </w:p>
        </w:tc>
        <w:tc>
          <w:tcPr>
            <w:tcW w:type="dxa" w:w="1964"/>
          </w:tcPr>
          <w:p>
            <w:pPr>
              <w:pStyle w:val="Compact"/>
            </w:pPr>
            <w:r>
              <w:t xml:space="preserve">Representative lease</w:t>
            </w:r>
          </w:p>
        </w:tc>
        <w:tc>
          <w:tcPr>
            <w:tcW w:type="dxa" w:w="4583"/>
          </w:tcPr>
          <w:p>
            <w:pPr>
              <w:pStyle w:val="Compact"/>
            </w:pPr>
            <w:r>
              <w:t xml:space="preserve">A copy of a typical lease, plus each lease whose terms differ materially</w:t>
            </w:r>
          </w:p>
        </w:tc>
        <w:tc>
          <w:tcPr>
            <w:tcW w:type="dxa" w:w="1216"/>
          </w:tcPr>
          <w:p>
            <w:pPr>
              <w:pStyle w:val="Compact"/>
            </w:pPr>
            <w:r>
              <w:t xml:space="preserve">On renewal</w:t>
            </w:r>
          </w:p>
        </w:tc>
        <w:tc>
          <w:tcPr>
            <w:tcW w:type="dxa" w:w="841"/>
          </w:tcPr>
          <w:p>
            <w:pPr>
              <w:pStyle w:val="Compact"/>
            </w:pPr>
            <w:r>
              <w:t xml:space="preserve">☐</w:t>
            </w:r>
          </w:p>
        </w:tc>
      </w:tr>
      <w:tr>
        <w:trPr>
          <w:cantSplit/>
        </w:trPr>
        <w:tc>
          <w:tcPr>
            <w:tcW w:type="dxa" w:w="748"/>
            <w:shd w:val="clear" w:color="auto" w:fill="E6ECF4"/>
          </w:tcPr>
          <w:p>
            <w:pPr>
              <w:pStyle w:val="Compact"/>
            </w:pPr>
            <w:r>
              <w:t xml:space="preserve">A2.4</w:t>
            </w:r>
          </w:p>
        </w:tc>
        <w:tc>
          <w:tcPr>
            <w:tcW w:type="dxa" w:w="1964"/>
            <w:shd w:val="clear" w:color="auto" w:fill="E6ECF4"/>
          </w:tcPr>
          <w:p>
            <w:pPr>
              <w:pStyle w:val="Compact"/>
            </w:pPr>
            <w:r>
              <w:t xml:space="preserve">Connected parties statement</w:t>
            </w:r>
          </w:p>
        </w:tc>
        <w:tc>
          <w:tcPr>
            <w:tcW w:type="dxa" w:w="4583"/>
            <w:shd w:val="clear" w:color="auto" w:fill="E6ECF4"/>
          </w:tcPr>
          <w:p>
            <w:pPr>
              <w:pStyle w:val="Compact"/>
            </w:pPr>
            <w:r>
              <w:t xml:space="preserve">Any connection between the landlord and the owner or its directors, and how conflicts are managed (para 131)</w:t>
            </w:r>
          </w:p>
        </w:tc>
        <w:tc>
          <w:tcPr>
            <w:tcW w:type="dxa" w:w="1216"/>
            <w:shd w:val="clear" w:color="auto" w:fill="E6ECF4"/>
          </w:tcPr>
          <w:p>
            <w:pPr>
              <w:pStyle w:val="Compact"/>
            </w:pPr>
            <w:r>
              <w:t xml:space="preserve">On change</w:t>
            </w:r>
          </w:p>
        </w:tc>
        <w:tc>
          <w:tcPr>
            <w:tcW w:type="dxa" w:w="841"/>
            <w:shd w:val="clear" w:color="auto" w:fill="E6ECF4"/>
          </w:tcPr>
          <w:p>
            <w:pPr>
              <w:pStyle w:val="Compact"/>
            </w:pPr>
            <w:r>
              <w:t xml:space="preserve">☐</w:t>
            </w:r>
          </w:p>
        </w:tc>
      </w:tr>
      <w:tr>
        <w:trPr>
          <w:cantSplit/>
        </w:trPr>
        <w:tc>
          <w:tcPr>
            <w:tcW w:type="dxa" w:w="748"/>
          </w:tcPr>
          <w:p>
            <w:pPr>
              <w:pStyle w:val="Compact"/>
            </w:pPr>
            <w:r>
              <w:t xml:space="preserve">A2.5</w:t>
            </w:r>
          </w:p>
        </w:tc>
        <w:tc>
          <w:tcPr>
            <w:tcW w:type="dxa" w:w="1964"/>
          </w:tcPr>
          <w:p>
            <w:pPr>
              <w:pStyle w:val="Compact"/>
            </w:pPr>
            <w:r>
              <w:t xml:space="preserve">Management agreement</w:t>
            </w:r>
          </w:p>
        </w:tc>
        <w:tc>
          <w:tcPr>
            <w:tcW w:type="dxa" w:w="4583"/>
          </w:tcPr>
          <w:p>
            <w:pPr>
              <w:pStyle w:val="Compact"/>
            </w:pPr>
            <w:r>
              <w:t xml:space="preserve">Where a managing agent is involved: a copy, showing that the landlord keeps control, including over setting rents (para 132)</w:t>
            </w:r>
          </w:p>
        </w:tc>
        <w:tc>
          <w:tcPr>
            <w:tcW w:type="dxa" w:w="1216"/>
          </w:tcPr>
          <w:p>
            <w:pPr>
              <w:pStyle w:val="Compact"/>
            </w:pPr>
            <w:r>
              <w:t xml:space="preserve">On change</w:t>
            </w:r>
          </w:p>
        </w:tc>
        <w:tc>
          <w:tcPr>
            <w:tcW w:type="dxa" w:w="841"/>
          </w:tcPr>
          <w:p>
            <w:pPr>
              <w:pStyle w:val="Compact"/>
            </w:pPr>
            <w:r>
              <w:t xml:space="preserve">☐</w:t>
            </w:r>
          </w:p>
        </w:tc>
      </w:tr>
      <w:tr>
        <w:trPr>
          <w:cantSplit/>
        </w:trPr>
        <w:tc>
          <w:tcPr>
            <w:tcW w:type="dxa" w:w="748"/>
            <w:shd w:val="clear" w:color="auto" w:fill="E6ECF4"/>
          </w:tcPr>
          <w:p>
            <w:pPr>
              <w:pStyle w:val="Compact"/>
            </w:pPr>
            <w:r>
              <w:t xml:space="preserve">A2.6</w:t>
            </w:r>
          </w:p>
        </w:tc>
        <w:tc>
          <w:tcPr>
            <w:tcW w:type="dxa" w:w="1964"/>
            <w:shd w:val="clear" w:color="auto" w:fill="E6ECF4"/>
          </w:tcPr>
          <w:p>
            <w:pPr>
              <w:pStyle w:val="Compact"/>
            </w:pPr>
            <w:r>
              <w:t xml:space="preserve">Tenancy or licence</w:t>
            </w:r>
          </w:p>
        </w:tc>
        <w:tc>
          <w:tcPr>
            <w:tcW w:type="dxa" w:w="4583"/>
            <w:shd w:val="clear" w:color="auto" w:fill="E6ECF4"/>
          </w:tcPr>
          <w:p>
            <w:pPr>
              <w:pStyle w:val="Compact"/>
            </w:pPr>
            <w:r>
              <w:t xml:space="preserve">The standard agreement used at the scheme, showing liability for rent and each service charge</w:t>
            </w:r>
          </w:p>
        </w:tc>
        <w:tc>
          <w:tcPr>
            <w:tcW w:type="dxa" w:w="1216"/>
            <w:shd w:val="clear" w:color="auto" w:fill="E6ECF4"/>
          </w:tcPr>
          <w:p>
            <w:pPr>
              <w:pStyle w:val="Compact"/>
            </w:pPr>
            <w:r>
              <w:t xml:space="preserve">On change</w:t>
            </w:r>
          </w:p>
        </w:tc>
        <w:tc>
          <w:tcPr>
            <w:tcW w:type="dxa" w:w="841"/>
            <w:shd w:val="clear" w:color="auto" w:fill="E6ECF4"/>
          </w:tcPr>
          <w:p>
            <w:pPr>
              <w:pStyle w:val="Compact"/>
            </w:pPr>
            <w:r>
              <w:t xml:space="preserve">☐</w:t>
            </w:r>
          </w:p>
        </w:tc>
      </w:tr>
    </w:tbl>
    <w:bookmarkEnd w:id="12"/>
    <w:bookmarkStart w:id="13" w:name="a3-care-support-or-supervision"/>
    <w:p>
      <w:pPr>
        <w:pStyle w:val="Heading3"/>
      </w:pPr>
      <w:r>
        <w:t xml:space="preserve">A3. Care, support or supervision</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1964"/>
        <w:gridCol w:w="4583"/>
        <w:gridCol w:w="1216"/>
        <w:gridCol w:w="841"/>
      </w:tblGrid>
      <w:tr>
        <w:trPr>
          <w:tblHeader w:val="on"/>
          <w:cantSplit/>
          <w:tblHeader w:val="true"/>
        </w:trPr>
        <w:tc>
          <w:tcPr>
            <w:tcW w:type="dxa" w:w="748"/>
            <w:shd w:val="clear" w:color="auto" w:fill="002F6D"/>
          </w:tcPr>
          <w:p>
            <w:pPr>
              <w:pStyle w:val="Compact"/>
            </w:pPr>
            <w:r>
              <w:rPr>
                <w:b/>
                <w:color w:val="FFFFFF"/>
              </w:rPr>
              <w:t xml:space="preserve">No.</w:t>
            </w:r>
          </w:p>
        </w:tc>
        <w:tc>
          <w:tcPr>
            <w:tcW w:type="dxa" w:w="1964"/>
            <w:shd w:val="clear" w:color="auto" w:fill="002F6D"/>
          </w:tcPr>
          <w:p>
            <w:pPr>
              <w:pStyle w:val="Compact"/>
            </w:pPr>
            <w:r>
              <w:rPr>
                <w:b/>
                <w:color w:val="FFFFFF"/>
              </w:rPr>
              <w:t xml:space="preserve">Item</w:t>
            </w:r>
          </w:p>
        </w:tc>
        <w:tc>
          <w:tcPr>
            <w:tcW w:type="dxa" w:w="4583"/>
            <w:shd w:val="clear" w:color="auto" w:fill="002F6D"/>
          </w:tcPr>
          <w:p>
            <w:pPr>
              <w:pStyle w:val="Compact"/>
            </w:pPr>
            <w:r>
              <w:rPr>
                <w:b/>
                <w:color w:val="FFFFFF"/>
              </w:rPr>
              <w:t xml:space="preserve">What to include</w:t>
            </w:r>
          </w:p>
        </w:tc>
        <w:tc>
          <w:tcPr>
            <w:tcW w:type="dxa" w:w="1216"/>
            <w:shd w:val="clear" w:color="auto" w:fill="002F6D"/>
          </w:tcPr>
          <w:p>
            <w:pPr>
              <w:pStyle w:val="Compact"/>
            </w:pPr>
            <w:r>
              <w:rPr>
                <w:b/>
                <w:color w:val="FFFFFF"/>
              </w:rPr>
              <w:t xml:space="preserve">Review</w:t>
            </w:r>
          </w:p>
        </w:tc>
        <w:tc>
          <w:tcPr>
            <w:tcW w:type="dxa" w:w="841"/>
            <w:shd w:val="clear" w:color="auto" w:fill="002F6D"/>
          </w:tcPr>
          <w:p>
            <w:pPr>
              <w:pStyle w:val="Compact"/>
            </w:pPr>
            <w:r>
              <w:rPr>
                <w:b/>
                <w:color w:val="FFFFFF"/>
              </w:rPr>
              <w:t xml:space="preserve">Done</w:t>
            </w:r>
          </w:p>
        </w:tc>
      </w:tr>
      <w:tr>
        <w:trPr>
          <w:cantSplit/>
        </w:trPr>
        <w:tc>
          <w:tcPr>
            <w:tcW w:type="dxa" w:w="748"/>
          </w:tcPr>
          <w:p>
            <w:pPr>
              <w:pStyle w:val="Compact"/>
            </w:pPr>
            <w:r>
              <w:t xml:space="preserve">A3.1</w:t>
            </w:r>
          </w:p>
        </w:tc>
        <w:tc>
          <w:tcPr>
            <w:tcW w:type="dxa" w:w="1964"/>
          </w:tcPr>
          <w:p>
            <w:pPr>
              <w:pStyle w:val="Compact"/>
            </w:pPr>
            <w:r>
              <w:t xml:space="preserve">Client group and referral routes</w:t>
            </w:r>
          </w:p>
        </w:tc>
        <w:tc>
          <w:tcPr>
            <w:tcW w:type="dxa" w:w="4583"/>
          </w:tcPr>
          <w:p>
            <w:pPr>
              <w:pStyle w:val="Compact"/>
            </w:pPr>
            <w:r>
              <w:t xml:space="preserve">Who the scheme is for, typical needs, and how tenants are referred and assessed</w:t>
            </w:r>
          </w:p>
        </w:tc>
        <w:tc>
          <w:tcPr>
            <w:tcW w:type="dxa" w:w="1216"/>
          </w:tcPr>
          <w:p>
            <w:pPr>
              <w:pStyle w:val="Compact"/>
            </w:pPr>
            <w:r>
              <w:t xml:space="preserve">Annually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A3.2</w:t>
            </w:r>
          </w:p>
        </w:tc>
        <w:tc>
          <w:tcPr>
            <w:tcW w:type="dxa" w:w="1964"/>
            <w:shd w:val="clear" w:color="auto" w:fill="E6ECF4"/>
          </w:tcPr>
          <w:p>
            <w:pPr>
              <w:pStyle w:val="Compact"/>
            </w:pPr>
            <w:r>
              <w:t xml:space="preserve">Referrals framework</w:t>
            </w:r>
          </w:p>
        </w:tc>
        <w:tc>
          <w:tcPr>
            <w:tcW w:type="dxa" w:w="4583"/>
            <w:shd w:val="clear" w:color="auto" w:fill="E6ECF4"/>
          </w:tcPr>
          <w:p>
            <w:pPr>
              <w:pStyle w:val="Compact"/>
            </w:pPr>
            <w:r>
              <w:t xml:space="preserve">Confirmation that the scheme works within the council-approved referrals framework, including emergency and self-referral routes (Chapter 14)</w:t>
            </w:r>
          </w:p>
        </w:tc>
        <w:tc>
          <w:tcPr>
            <w:tcW w:type="dxa" w:w="1216"/>
            <w:shd w:val="clear" w:color="auto" w:fill="E6ECF4"/>
          </w:tcPr>
          <w:p>
            <w:pPr>
              <w:pStyle w:val="Compact"/>
            </w:pPr>
            <w:r>
              <w:t xml:space="preserve">Annually</w:t>
            </w:r>
          </w:p>
        </w:tc>
        <w:tc>
          <w:tcPr>
            <w:tcW w:type="dxa" w:w="841"/>
            <w:shd w:val="clear" w:color="auto" w:fill="E6ECF4"/>
          </w:tcPr>
          <w:p>
            <w:pPr>
              <w:pStyle w:val="Compact"/>
            </w:pPr>
            <w:r>
              <w:t xml:space="preserve">☐</w:t>
            </w:r>
          </w:p>
        </w:tc>
      </w:tr>
      <w:tr>
        <w:trPr>
          <w:cantSplit/>
        </w:trPr>
        <w:tc>
          <w:tcPr>
            <w:tcW w:type="dxa" w:w="748"/>
          </w:tcPr>
          <w:p>
            <w:pPr>
              <w:pStyle w:val="Compact"/>
            </w:pPr>
            <w:r>
              <w:t xml:space="preserve">A3.3</w:t>
            </w:r>
          </w:p>
        </w:tc>
        <w:tc>
          <w:tcPr>
            <w:tcW w:type="dxa" w:w="1964"/>
          </w:tcPr>
          <w:p>
            <w:pPr>
              <w:pStyle w:val="Compact"/>
            </w:pPr>
            <w:r>
              <w:t xml:space="preserve">Service description</w:t>
            </w:r>
          </w:p>
        </w:tc>
        <w:tc>
          <w:tcPr>
            <w:tcW w:type="dxa" w:w="4583"/>
          </w:tcPr>
          <w:p>
            <w:pPr>
              <w:pStyle w:val="Compact"/>
            </w:pPr>
            <w:r>
              <w:t xml:space="preserve">What care, support or supervision is provided, by whom, how often and how it is linked to the accommodation, including intensive housing management and maintenance where relied on (Chapter 7)</w:t>
            </w:r>
          </w:p>
        </w:tc>
        <w:tc>
          <w:tcPr>
            <w:tcW w:type="dxa" w:w="1216"/>
          </w:tcPr>
          <w:p>
            <w:pPr>
              <w:pStyle w:val="Compact"/>
            </w:pPr>
            <w:r>
              <w:t xml:space="preserve">Annually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A3.4</w:t>
            </w:r>
          </w:p>
        </w:tc>
        <w:tc>
          <w:tcPr>
            <w:tcW w:type="dxa" w:w="1964"/>
            <w:shd w:val="clear" w:color="auto" w:fill="E6ECF4"/>
          </w:tcPr>
          <w:p>
            <w:pPr>
              <w:pStyle w:val="Compact"/>
            </w:pPr>
            <w:r>
              <w:t xml:space="preserve">Staffing</w:t>
            </w:r>
          </w:p>
        </w:tc>
        <w:tc>
          <w:tcPr>
            <w:tcW w:type="dxa" w:w="4583"/>
            <w:shd w:val="clear" w:color="auto" w:fill="E6ECF4"/>
          </w:tcPr>
          <w:p>
            <w:pPr>
              <w:pStyle w:val="Compact"/>
            </w:pPr>
            <w:r>
              <w:t xml:space="preserve">Roles, numbers, hours, training and qualifications (para 154), and how time is split between eligible and ineligible activities (Chapter 9, 9.3)</w:t>
            </w:r>
          </w:p>
        </w:tc>
        <w:tc>
          <w:tcPr>
            <w:tcW w:type="dxa" w:w="1216"/>
            <w:shd w:val="clear" w:color="auto" w:fill="E6ECF4"/>
          </w:tcPr>
          <w:p>
            <w:pPr>
              <w:pStyle w:val="Compact"/>
            </w:pPr>
            <w:r>
              <w:t xml:space="preserve">Annually</w:t>
            </w:r>
          </w:p>
        </w:tc>
        <w:tc>
          <w:tcPr>
            <w:tcW w:type="dxa" w:w="841"/>
            <w:shd w:val="clear" w:color="auto" w:fill="E6ECF4"/>
          </w:tcPr>
          <w:p>
            <w:pPr>
              <w:pStyle w:val="Compact"/>
            </w:pPr>
            <w:r>
              <w:t xml:space="preserve">☐</w:t>
            </w:r>
          </w:p>
        </w:tc>
      </w:tr>
      <w:tr>
        <w:trPr>
          <w:cantSplit/>
        </w:trPr>
        <w:tc>
          <w:tcPr>
            <w:tcW w:type="dxa" w:w="748"/>
          </w:tcPr>
          <w:p>
            <w:pPr>
              <w:pStyle w:val="Compact"/>
            </w:pPr>
            <w:r>
              <w:t xml:space="preserve">A3.5</w:t>
            </w:r>
          </w:p>
        </w:tc>
        <w:tc>
          <w:tcPr>
            <w:tcW w:type="dxa" w:w="1964"/>
          </w:tcPr>
          <w:p>
            <w:pPr>
              <w:pStyle w:val="Compact"/>
            </w:pPr>
            <w:r>
              <w:t xml:space="preserve">On-call and out-of-hours</w:t>
            </w:r>
          </w:p>
        </w:tc>
        <w:tc>
          <w:tcPr>
            <w:tcW w:type="dxa" w:w="4583"/>
          </w:tcPr>
          <w:p>
            <w:pPr>
              <w:pStyle w:val="Compact"/>
            </w:pPr>
            <w:r>
              <w:t xml:space="preserve">What cover is provided and how quickly staff respond. This is supervision (Chapter 6, 6.6)</w:t>
            </w:r>
          </w:p>
        </w:tc>
        <w:tc>
          <w:tcPr>
            <w:tcW w:type="dxa" w:w="1216"/>
          </w:tcPr>
          <w:p>
            <w:pPr>
              <w:pStyle w:val="Compact"/>
            </w:pPr>
            <w:r>
              <w:t xml:space="preserve">Annually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A3.6</w:t>
            </w:r>
          </w:p>
        </w:tc>
        <w:tc>
          <w:tcPr>
            <w:tcW w:type="dxa" w:w="1964"/>
            <w:shd w:val="clear" w:color="auto" w:fill="E6ECF4"/>
          </w:tcPr>
          <w:p>
            <w:pPr>
              <w:pStyle w:val="Compact"/>
            </w:pPr>
            <w:r>
              <w:t xml:space="preserve">Third-party support agreement</w:t>
            </w:r>
          </w:p>
        </w:tc>
        <w:tc>
          <w:tcPr>
            <w:tcW w:type="dxa" w:w="4583"/>
            <w:shd w:val="clear" w:color="auto" w:fill="E6ECF4"/>
          </w:tcPr>
          <w:p>
            <w:pPr>
              <w:pStyle w:val="Compact"/>
            </w:pPr>
            <w:r>
              <w:t xml:space="preserve">Where another body provides support on the landlord's behalf: the contract or service level agreement and how it is monitored (para 139)</w:t>
            </w:r>
          </w:p>
        </w:tc>
        <w:tc>
          <w:tcPr>
            <w:tcW w:type="dxa" w:w="1216"/>
            <w:shd w:val="clear" w:color="auto" w:fill="E6ECF4"/>
          </w:tcPr>
          <w:p>
            <w:pPr>
              <w:pStyle w:val="Compact"/>
            </w:pPr>
            <w:r>
              <w:t xml:space="preserve">On renewal</w:t>
            </w:r>
          </w:p>
        </w:tc>
        <w:tc>
          <w:tcPr>
            <w:tcW w:type="dxa" w:w="841"/>
            <w:shd w:val="clear" w:color="auto" w:fill="E6ECF4"/>
          </w:tcPr>
          <w:p>
            <w:pPr>
              <w:pStyle w:val="Compact"/>
            </w:pPr>
            <w:r>
              <w:t xml:space="preserve">☐</w:t>
            </w:r>
          </w:p>
        </w:tc>
      </w:tr>
      <w:tr>
        <w:trPr>
          <w:cantSplit/>
        </w:trPr>
        <w:tc>
          <w:tcPr>
            <w:tcW w:type="dxa" w:w="748"/>
          </w:tcPr>
          <w:p>
            <w:pPr>
              <w:pStyle w:val="Compact"/>
            </w:pPr>
            <w:r>
              <w:t xml:space="preserve">A3.7</w:t>
            </w:r>
          </w:p>
        </w:tc>
        <w:tc>
          <w:tcPr>
            <w:tcW w:type="dxa" w:w="1964"/>
          </w:tcPr>
          <w:p>
            <w:pPr>
              <w:pStyle w:val="Compact"/>
            </w:pPr>
            <w:r>
              <w:t xml:space="preserve">Funding of ineligible support</w:t>
            </w:r>
          </w:p>
        </w:tc>
        <w:tc>
          <w:tcPr>
            <w:tcW w:type="dxa" w:w="4583"/>
          </w:tcPr>
          <w:p>
            <w:pPr>
              <w:pStyle w:val="Compact"/>
            </w:pPr>
            <w:r>
              <w:t xml:space="preserve">Where any ineligible care or personal support is provided: who funds it and how (paras 160 to 162 and 187). If none is provided, say so</w:t>
            </w:r>
          </w:p>
        </w:tc>
        <w:tc>
          <w:tcPr>
            <w:tcW w:type="dxa" w:w="1216"/>
          </w:tcPr>
          <w:p>
            <w:pPr>
              <w:pStyle w:val="Compact"/>
            </w:pPr>
            <w:r>
              <w:t xml:space="preserve">Annually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A3.8</w:t>
            </w:r>
          </w:p>
        </w:tc>
        <w:tc>
          <w:tcPr>
            <w:tcW w:type="dxa" w:w="1964"/>
            <w:shd w:val="clear" w:color="auto" w:fill="E6ECF4"/>
          </w:tcPr>
          <w:p>
            <w:pPr>
              <w:pStyle w:val="Compact"/>
            </w:pPr>
            <w:r>
              <w:t xml:space="preserve">Support records format</w:t>
            </w:r>
          </w:p>
        </w:tc>
        <w:tc>
          <w:tcPr>
            <w:tcW w:type="dxa" w:w="4583"/>
            <w:shd w:val="clear" w:color="auto" w:fill="E6ECF4"/>
          </w:tcPr>
          <w:p>
            <w:pPr>
              <w:pStyle w:val="Compact"/>
            </w:pPr>
            <w:r>
              <w:t xml:space="preserve">A blank copy of the needs assessment, support plan and activity log used at the scheme (Appendices 6 and 7)</w:t>
            </w:r>
          </w:p>
        </w:tc>
        <w:tc>
          <w:tcPr>
            <w:tcW w:type="dxa" w:w="1216"/>
            <w:shd w:val="clear" w:color="auto" w:fill="E6ECF4"/>
          </w:tcPr>
          <w:p>
            <w:pPr>
              <w:pStyle w:val="Compact"/>
            </w:pPr>
            <w:r>
              <w:t xml:space="preserve">On change</w:t>
            </w:r>
          </w:p>
        </w:tc>
        <w:tc>
          <w:tcPr>
            <w:tcW w:type="dxa" w:w="841"/>
            <w:shd w:val="clear" w:color="auto" w:fill="E6ECF4"/>
          </w:tcPr>
          <w:p>
            <w:pPr>
              <w:pStyle w:val="Compact"/>
            </w:pPr>
            <w:r>
              <w:t xml:space="preserve">☐</w:t>
            </w:r>
          </w:p>
        </w:tc>
      </w:tr>
    </w:tbl>
    <w:bookmarkEnd w:id="13"/>
    <w:bookmarkStart w:id="14" w:name="a4-rent-and-service-charges"/>
    <w:p>
      <w:pPr>
        <w:pStyle w:val="Heading3"/>
      </w:pPr>
      <w:r>
        <w:t xml:space="preserve">A4. Rent and service charges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1964"/>
        <w:gridCol w:w="4583"/>
        <w:gridCol w:w="1216"/>
        <w:gridCol w:w="841"/>
      </w:tblGrid>
      <w:tr>
        <w:trPr>
          <w:tblHeader w:val="on"/>
          <w:cantSplit/>
          <w:tblHeader w:val="true"/>
        </w:trPr>
        <w:tc>
          <w:tcPr>
            <w:tcW w:type="dxa" w:w="748"/>
            <w:shd w:val="clear" w:color="auto" w:fill="002F6D"/>
          </w:tcPr>
          <w:p>
            <w:pPr>
              <w:pStyle w:val="Compact"/>
            </w:pPr>
            <w:r>
              <w:rPr>
                <w:b/>
                <w:color w:val="FFFFFF"/>
              </w:rPr>
              <w:t xml:space="preserve">No.</w:t>
            </w:r>
          </w:p>
        </w:tc>
        <w:tc>
          <w:tcPr>
            <w:tcW w:type="dxa" w:w="1964"/>
            <w:shd w:val="clear" w:color="auto" w:fill="002F6D"/>
          </w:tcPr>
          <w:p>
            <w:pPr>
              <w:pStyle w:val="Compact"/>
            </w:pPr>
            <w:r>
              <w:rPr>
                <w:b/>
                <w:color w:val="FFFFFF"/>
              </w:rPr>
              <w:t xml:space="preserve">Item</w:t>
            </w:r>
          </w:p>
        </w:tc>
        <w:tc>
          <w:tcPr>
            <w:tcW w:type="dxa" w:w="4583"/>
            <w:shd w:val="clear" w:color="auto" w:fill="002F6D"/>
          </w:tcPr>
          <w:p>
            <w:pPr>
              <w:pStyle w:val="Compact"/>
            </w:pPr>
            <w:r>
              <w:rPr>
                <w:b/>
                <w:color w:val="FFFFFF"/>
              </w:rPr>
              <w:t xml:space="preserve">What to include</w:t>
            </w:r>
          </w:p>
        </w:tc>
        <w:tc>
          <w:tcPr>
            <w:tcW w:type="dxa" w:w="1216"/>
            <w:shd w:val="clear" w:color="auto" w:fill="002F6D"/>
          </w:tcPr>
          <w:p>
            <w:pPr>
              <w:pStyle w:val="Compact"/>
            </w:pPr>
            <w:r>
              <w:rPr>
                <w:b/>
                <w:color w:val="FFFFFF"/>
              </w:rPr>
              <w:t xml:space="preserve">Review</w:t>
            </w:r>
          </w:p>
        </w:tc>
        <w:tc>
          <w:tcPr>
            <w:tcW w:type="dxa" w:w="841"/>
            <w:shd w:val="clear" w:color="auto" w:fill="002F6D"/>
          </w:tcPr>
          <w:p>
            <w:pPr>
              <w:pStyle w:val="Compact"/>
            </w:pPr>
            <w:r>
              <w:rPr>
                <w:b/>
                <w:color w:val="FFFFFF"/>
              </w:rPr>
              <w:t xml:space="preserve">Done</w:t>
            </w:r>
          </w:p>
        </w:tc>
      </w:tr>
      <w:tr>
        <w:trPr>
          <w:cantSplit/>
        </w:trPr>
        <w:tc>
          <w:tcPr>
            <w:tcW w:type="dxa" w:w="748"/>
          </w:tcPr>
          <w:p>
            <w:pPr>
              <w:pStyle w:val="Compact"/>
            </w:pPr>
            <w:r>
              <w:t xml:space="preserve">A4.1</w:t>
            </w:r>
          </w:p>
        </w:tc>
        <w:tc>
          <w:tcPr>
            <w:tcW w:type="dxa" w:w="1964"/>
          </w:tcPr>
          <w:p>
            <w:pPr>
              <w:pStyle w:val="Compact"/>
            </w:pPr>
            <w:r>
              <w:t xml:space="preserve">Rent and service charge build-up</w:t>
            </w:r>
          </w:p>
        </w:tc>
        <w:tc>
          <w:tcPr>
            <w:tcW w:type="dxa" w:w="4583"/>
          </w:tcPr>
          <w:p>
            <w:pPr>
              <w:pStyle w:val="Compact"/>
            </w:pPr>
            <w:r>
              <w:t xml:space="preserve">The Appendix 8 template, from actual or budgeted scheme costs, separating core rent from each service charge (para 168)</w:t>
            </w:r>
          </w:p>
        </w:tc>
        <w:tc>
          <w:tcPr>
            <w:tcW w:type="dxa" w:w="1216"/>
          </w:tcPr>
          <w:p>
            <w:pPr>
              <w:pStyle w:val="Compact"/>
            </w:pPr>
            <w:r>
              <w:t xml:space="preserve">On increase, annually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A4.2</w:t>
            </w:r>
          </w:p>
        </w:tc>
        <w:tc>
          <w:tcPr>
            <w:tcW w:type="dxa" w:w="1964"/>
            <w:shd w:val="clear" w:color="auto" w:fill="E6ECF4"/>
          </w:tcPr>
          <w:p>
            <w:pPr>
              <w:pStyle w:val="Compact"/>
            </w:pPr>
            <w:r>
              <w:t xml:space="preserve">Eligibility schedule</w:t>
            </w:r>
          </w:p>
        </w:tc>
        <w:tc>
          <w:tcPr>
            <w:tcW w:type="dxa" w:w="4583"/>
            <w:shd w:val="clear" w:color="auto" w:fill="E6ECF4"/>
          </w:tcPr>
          <w:p>
            <w:pPr>
              <w:pStyle w:val="Compact"/>
            </w:pPr>
            <w:r>
              <w:t xml:space="preserve">Each service charge marked eligible or ineligible, with the reason (Chapter 9)</w:t>
            </w:r>
          </w:p>
        </w:tc>
        <w:tc>
          <w:tcPr>
            <w:tcW w:type="dxa" w:w="1216"/>
            <w:shd w:val="clear" w:color="auto" w:fill="E6ECF4"/>
          </w:tcPr>
          <w:p>
            <w:pPr>
              <w:pStyle w:val="Compact"/>
            </w:pPr>
            <w:r>
              <w:t xml:space="preserve">On change</w:t>
            </w:r>
          </w:p>
        </w:tc>
        <w:tc>
          <w:tcPr>
            <w:tcW w:type="dxa" w:w="841"/>
            <w:shd w:val="clear" w:color="auto" w:fill="E6ECF4"/>
          </w:tcPr>
          <w:p>
            <w:pPr>
              <w:pStyle w:val="Compact"/>
            </w:pPr>
            <w:r>
              <w:t xml:space="preserve">☐</w:t>
            </w:r>
          </w:p>
        </w:tc>
      </w:tr>
      <w:tr>
        <w:trPr>
          <w:cantSplit/>
        </w:trPr>
        <w:tc>
          <w:tcPr>
            <w:tcW w:type="dxa" w:w="748"/>
          </w:tcPr>
          <w:p>
            <w:pPr>
              <w:pStyle w:val="Compact"/>
            </w:pPr>
            <w:r>
              <w:t xml:space="preserve">A4.3</w:t>
            </w:r>
          </w:p>
        </w:tc>
        <w:tc>
          <w:tcPr>
            <w:tcW w:type="dxa" w:w="1964"/>
          </w:tcPr>
          <w:p>
            <w:pPr>
              <w:pStyle w:val="Compact"/>
            </w:pPr>
            <w:r>
              <w:t xml:space="preserve">Apportionment method</w:t>
            </w:r>
          </w:p>
        </w:tc>
        <w:tc>
          <w:tcPr>
            <w:tcW w:type="dxa" w:w="4583"/>
          </w:tcPr>
          <w:p>
            <w:pPr>
              <w:pStyle w:val="Compact"/>
            </w:pPr>
            <w:r>
              <w:t xml:space="preserve">How mixed costs, usually staff time, are split, and evidence that the method is applied consistently (Chapter 9, 9.3)</w:t>
            </w:r>
          </w:p>
        </w:tc>
        <w:tc>
          <w:tcPr>
            <w:tcW w:type="dxa" w:w="1216"/>
          </w:tcPr>
          <w:p>
            <w:pPr>
              <w:pStyle w:val="Compact"/>
            </w:pPr>
            <w:r>
              <w:t xml:space="preserve">Annually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A4.4</w:t>
            </w:r>
          </w:p>
        </w:tc>
        <w:tc>
          <w:tcPr>
            <w:tcW w:type="dxa" w:w="1964"/>
            <w:shd w:val="clear" w:color="auto" w:fill="E6ECF4"/>
          </w:tcPr>
          <w:p>
            <w:pPr>
              <w:pStyle w:val="Compact"/>
            </w:pPr>
            <w:r>
              <w:t xml:space="preserve">Year-on-year comparison</w:t>
            </w:r>
          </w:p>
        </w:tc>
        <w:tc>
          <w:tcPr>
            <w:tcW w:type="dxa" w:w="4583"/>
            <w:shd w:val="clear" w:color="auto" w:fill="E6ECF4"/>
          </w:tcPr>
          <w:p>
            <w:pPr>
              <w:pStyle w:val="Compact"/>
            </w:pPr>
            <w:r>
              <w:t xml:space="preserve">On a rent increase: what has changed since last year and why (para 238)</w:t>
            </w:r>
          </w:p>
        </w:tc>
        <w:tc>
          <w:tcPr>
            <w:tcW w:type="dxa" w:w="1216"/>
            <w:shd w:val="clear" w:color="auto" w:fill="E6ECF4"/>
          </w:tcPr>
          <w:p>
            <w:pPr>
              <w:pStyle w:val="Compact"/>
            </w:pPr>
            <w:r>
              <w:t xml:space="preserve">On increase</w:t>
            </w:r>
          </w:p>
        </w:tc>
        <w:tc>
          <w:tcPr>
            <w:tcW w:type="dxa" w:w="841"/>
            <w:shd w:val="clear" w:color="auto" w:fill="E6ECF4"/>
          </w:tcPr>
          <w:p>
            <w:pPr>
              <w:pStyle w:val="Compact"/>
            </w:pPr>
            <w:r>
              <w:t xml:space="preserve">☐</w:t>
            </w:r>
          </w:p>
        </w:tc>
      </w:tr>
      <w:tr>
        <w:trPr>
          <w:cantSplit/>
        </w:trPr>
        <w:tc>
          <w:tcPr>
            <w:tcW w:type="dxa" w:w="748"/>
          </w:tcPr>
          <w:p>
            <w:pPr>
              <w:pStyle w:val="Compact"/>
            </w:pPr>
            <w:r>
              <w:t xml:space="preserve">A4.5</w:t>
            </w:r>
          </w:p>
        </w:tc>
        <w:tc>
          <w:tcPr>
            <w:tcW w:type="dxa" w:w="1964"/>
          </w:tcPr>
          <w:p>
            <w:pPr>
              <w:pStyle w:val="Compact"/>
            </w:pPr>
            <w:r>
              <w:t xml:space="preserve">Comparators</w:t>
            </w:r>
          </w:p>
        </w:tc>
        <w:tc>
          <w:tcPr>
            <w:tcW w:type="dxa" w:w="4583"/>
          </w:tcPr>
          <w:p>
            <w:pPr>
              <w:pStyle w:val="Compact"/>
            </w:pPr>
            <w:r>
              <w:t xml:space="preserve">Optional: any comparable schemes the provider relies on, with what makes them comparable (Chapter 10)</w:t>
            </w:r>
          </w:p>
        </w:tc>
        <w:tc>
          <w:tcPr>
            <w:tcW w:type="dxa" w:w="1216"/>
          </w:tcPr>
          <w:p>
            <w:pPr>
              <w:pStyle w:val="Compact"/>
            </w:pPr>
            <w:r>
              <w:t xml:space="preserve">On increase</w:t>
            </w:r>
          </w:p>
        </w:tc>
        <w:tc>
          <w:tcPr>
            <w:tcW w:type="dxa" w:w="841"/>
          </w:tcPr>
          <w:p>
            <w:pPr>
              <w:pStyle w:val="Compact"/>
            </w:pPr>
            <w:r>
              <w:t xml:space="preserve">☐</w:t>
            </w:r>
          </w:p>
        </w:tc>
      </w:tr>
    </w:tbl>
    <w:bookmarkEnd w:id="14"/>
    <w:bookmarkStart w:id="15" w:name="a5-commissioning-and-local-fit"/>
    <w:p>
      <w:pPr>
        <w:pStyle w:val="Heading3"/>
      </w:pPr>
      <w:r>
        <w:t xml:space="preserve">A5. Commissioning and local fit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1964"/>
        <w:gridCol w:w="4583"/>
        <w:gridCol w:w="1216"/>
        <w:gridCol w:w="841"/>
      </w:tblGrid>
      <w:tr>
        <w:trPr>
          <w:tblHeader w:val="on"/>
          <w:cantSplit/>
          <w:tblHeader w:val="true"/>
        </w:trPr>
        <w:tc>
          <w:tcPr>
            <w:tcW w:type="dxa" w:w="748"/>
            <w:shd w:val="clear" w:color="auto" w:fill="002F6D"/>
          </w:tcPr>
          <w:p>
            <w:pPr>
              <w:pStyle w:val="Compact"/>
            </w:pPr>
            <w:r>
              <w:rPr>
                <w:b/>
                <w:color w:val="FFFFFF"/>
              </w:rPr>
              <w:t xml:space="preserve">No.</w:t>
            </w:r>
          </w:p>
        </w:tc>
        <w:tc>
          <w:tcPr>
            <w:tcW w:type="dxa" w:w="1964"/>
            <w:shd w:val="clear" w:color="auto" w:fill="002F6D"/>
          </w:tcPr>
          <w:p>
            <w:pPr>
              <w:pStyle w:val="Compact"/>
            </w:pPr>
            <w:r>
              <w:rPr>
                <w:b/>
                <w:color w:val="FFFFFF"/>
              </w:rPr>
              <w:t xml:space="preserve">Item</w:t>
            </w:r>
          </w:p>
        </w:tc>
        <w:tc>
          <w:tcPr>
            <w:tcW w:type="dxa" w:w="4583"/>
            <w:shd w:val="clear" w:color="auto" w:fill="002F6D"/>
          </w:tcPr>
          <w:p>
            <w:pPr>
              <w:pStyle w:val="Compact"/>
            </w:pPr>
            <w:r>
              <w:rPr>
                <w:b/>
                <w:color w:val="FFFFFF"/>
              </w:rPr>
              <w:t xml:space="preserve">What to include</w:t>
            </w:r>
          </w:p>
        </w:tc>
        <w:tc>
          <w:tcPr>
            <w:tcW w:type="dxa" w:w="1216"/>
            <w:shd w:val="clear" w:color="auto" w:fill="002F6D"/>
          </w:tcPr>
          <w:p>
            <w:pPr>
              <w:pStyle w:val="Compact"/>
            </w:pPr>
            <w:r>
              <w:rPr>
                <w:b/>
                <w:color w:val="FFFFFF"/>
              </w:rPr>
              <w:t xml:space="preserve">Review</w:t>
            </w:r>
          </w:p>
        </w:tc>
        <w:tc>
          <w:tcPr>
            <w:tcW w:type="dxa" w:w="841"/>
            <w:shd w:val="clear" w:color="auto" w:fill="002F6D"/>
          </w:tcPr>
          <w:p>
            <w:pPr>
              <w:pStyle w:val="Compact"/>
            </w:pPr>
            <w:r>
              <w:rPr>
                <w:b/>
                <w:color w:val="FFFFFF"/>
              </w:rPr>
              <w:t xml:space="preserve">Done</w:t>
            </w:r>
          </w:p>
        </w:tc>
      </w:tr>
      <w:tr>
        <w:trPr>
          <w:cantSplit/>
        </w:trPr>
        <w:tc>
          <w:tcPr>
            <w:tcW w:type="dxa" w:w="748"/>
          </w:tcPr>
          <w:p>
            <w:pPr>
              <w:pStyle w:val="Compact"/>
            </w:pPr>
            <w:r>
              <w:t xml:space="preserve">A5.1</w:t>
            </w:r>
          </w:p>
        </w:tc>
        <w:tc>
          <w:tcPr>
            <w:tcW w:type="dxa" w:w="1964"/>
          </w:tcPr>
          <w:p>
            <w:pPr>
              <w:pStyle w:val="Compact"/>
            </w:pPr>
            <w:r>
              <w:t xml:space="preserve">Commissioning agreements</w:t>
            </w:r>
          </w:p>
        </w:tc>
        <w:tc>
          <w:tcPr>
            <w:tcW w:type="dxa" w:w="4583"/>
          </w:tcPr>
          <w:p>
            <w:pPr>
              <w:pStyle w:val="Compact"/>
            </w:pPr>
            <w:r>
              <w:t xml:space="preserve">Any contract, grant or service level agreement with a council, NHS body, probation or other commissioner. Commissioning is helpful, not required</w:t>
            </w:r>
          </w:p>
        </w:tc>
        <w:tc>
          <w:tcPr>
            <w:tcW w:type="dxa" w:w="1216"/>
          </w:tcPr>
          <w:p>
            <w:pPr>
              <w:pStyle w:val="Compact"/>
            </w:pPr>
            <w:r>
              <w:t xml:space="preserve">On renewal</w:t>
            </w:r>
          </w:p>
        </w:tc>
        <w:tc>
          <w:tcPr>
            <w:tcW w:type="dxa" w:w="841"/>
          </w:tcPr>
          <w:p>
            <w:pPr>
              <w:pStyle w:val="Compact"/>
            </w:pPr>
            <w:r>
              <w:t xml:space="preserve">☐</w:t>
            </w:r>
          </w:p>
        </w:tc>
      </w:tr>
      <w:tr>
        <w:trPr>
          <w:cantSplit/>
        </w:trPr>
        <w:tc>
          <w:tcPr>
            <w:tcW w:type="dxa" w:w="748"/>
            <w:shd w:val="clear" w:color="auto" w:fill="E6ECF4"/>
          </w:tcPr>
          <w:p>
            <w:pPr>
              <w:pStyle w:val="Compact"/>
            </w:pPr>
            <w:r>
              <w:t xml:space="preserve">A5.2</w:t>
            </w:r>
          </w:p>
        </w:tc>
        <w:tc>
          <w:tcPr>
            <w:tcW w:type="dxa" w:w="1964"/>
            <w:shd w:val="clear" w:color="auto" w:fill="E6ECF4"/>
          </w:tcPr>
          <w:p>
            <w:pPr>
              <w:pStyle w:val="Compact"/>
            </w:pPr>
            <w:r>
              <w:t xml:space="preserve">Referral or nomination agreements</w:t>
            </w:r>
          </w:p>
        </w:tc>
        <w:tc>
          <w:tcPr>
            <w:tcW w:type="dxa" w:w="4583"/>
            <w:shd w:val="clear" w:color="auto" w:fill="E6ECF4"/>
          </w:tcPr>
          <w:p>
            <w:pPr>
              <w:pStyle w:val="Compact"/>
            </w:pPr>
            <w:r>
              <w:t xml:space="preserve">Agreements with housing options or other referral agencies</w:t>
            </w:r>
          </w:p>
        </w:tc>
        <w:tc>
          <w:tcPr>
            <w:tcW w:type="dxa" w:w="1216"/>
            <w:shd w:val="clear" w:color="auto" w:fill="E6ECF4"/>
          </w:tcPr>
          <w:p>
            <w:pPr>
              <w:pStyle w:val="Compact"/>
            </w:pPr>
            <w:r>
              <w:t xml:space="preserve">On renewal</w:t>
            </w:r>
          </w:p>
        </w:tc>
        <w:tc>
          <w:tcPr>
            <w:tcW w:type="dxa" w:w="841"/>
            <w:shd w:val="clear" w:color="auto" w:fill="E6ECF4"/>
          </w:tcPr>
          <w:p>
            <w:pPr>
              <w:pStyle w:val="Compact"/>
            </w:pPr>
            <w:r>
              <w:t xml:space="preserve">☐</w:t>
            </w:r>
          </w:p>
        </w:tc>
      </w:tr>
      <w:tr>
        <w:trPr>
          <w:cantSplit/>
        </w:trPr>
        <w:tc>
          <w:tcPr>
            <w:tcW w:type="dxa" w:w="748"/>
          </w:tcPr>
          <w:p>
            <w:pPr>
              <w:pStyle w:val="Compact"/>
            </w:pPr>
            <w:r>
              <w:t xml:space="preserve">A5.3</w:t>
            </w:r>
          </w:p>
        </w:tc>
        <w:tc>
          <w:tcPr>
            <w:tcW w:type="dxa" w:w="1964"/>
          </w:tcPr>
          <w:p>
            <w:pPr>
              <w:pStyle w:val="Compact"/>
            </w:pPr>
            <w:r>
              <w:t xml:space="preserve">Local strategy</w:t>
            </w:r>
          </w:p>
        </w:tc>
        <w:tc>
          <w:tcPr>
            <w:tcW w:type="dxa" w:w="4583"/>
          </w:tcPr>
          <w:p>
            <w:pPr>
              <w:pStyle w:val="Compact"/>
            </w:pPr>
            <w:r>
              <w:t xml:space="preserve">How the scheme meets local need, for example under a temporary accommodation to exempt accommodation strategy or the local supported housing strategy</w:t>
            </w:r>
          </w:p>
        </w:tc>
        <w:tc>
          <w:tcPr>
            <w:tcW w:type="dxa" w:w="1216"/>
          </w:tcPr>
          <w:p>
            <w:pPr>
              <w:pStyle w:val="Compact"/>
            </w:pPr>
            <w:r>
              <w:t xml:space="preserve">Annually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A5.4</w:t>
            </w:r>
          </w:p>
        </w:tc>
        <w:tc>
          <w:tcPr>
            <w:tcW w:type="dxa" w:w="1964"/>
            <w:shd w:val="clear" w:color="auto" w:fill="E6ECF4"/>
          </w:tcPr>
          <w:p>
            <w:pPr>
              <w:pStyle w:val="Compact"/>
            </w:pPr>
            <w:r>
              <w:t xml:space="preserve">Letters of support</w:t>
            </w:r>
          </w:p>
        </w:tc>
        <w:tc>
          <w:tcPr>
            <w:tcW w:type="dxa" w:w="4583"/>
            <w:shd w:val="clear" w:color="auto" w:fill="E6ECF4"/>
          </w:tcPr>
          <w:p>
            <w:pPr>
              <w:pStyle w:val="Compact"/>
            </w:pPr>
            <w:r>
              <w:t xml:space="preserve">Optional: from a council team or partner agency</w:t>
            </w:r>
          </w:p>
        </w:tc>
        <w:tc>
          <w:tcPr>
            <w:tcW w:type="dxa" w:w="1216"/>
            <w:shd w:val="clear" w:color="auto" w:fill="E6ECF4"/>
          </w:tcPr>
          <w:p>
            <w:pPr>
              <w:pStyle w:val="Compact"/>
            </w:pPr>
            <w:r>
              <w:t xml:space="preserve">On change</w:t>
            </w:r>
          </w:p>
        </w:tc>
        <w:tc>
          <w:tcPr>
            <w:tcW w:type="dxa" w:w="841"/>
            <w:shd w:val="clear" w:color="auto" w:fill="E6ECF4"/>
          </w:tcPr>
          <w:p>
            <w:pPr>
              <w:pStyle w:val="Compact"/>
            </w:pPr>
            <w:r>
              <w:t xml:space="preserve">☐</w:t>
            </w:r>
          </w:p>
        </w:tc>
      </w:tr>
    </w:tbl>
    <w:bookmarkEnd w:id="15"/>
    <w:bookmarkStart w:id="16" w:name="a6-property-compliance"/>
    <w:p>
      <w:pPr>
        <w:pStyle w:val="Heading3"/>
      </w:pPr>
      <w:r>
        <w:t xml:space="preserve">A6. Property compliance</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1964"/>
        <w:gridCol w:w="4583"/>
        <w:gridCol w:w="1216"/>
        <w:gridCol w:w="841"/>
      </w:tblGrid>
      <w:tr>
        <w:trPr>
          <w:tblHeader w:val="on"/>
          <w:cantSplit/>
          <w:tblHeader w:val="true"/>
        </w:trPr>
        <w:tc>
          <w:tcPr>
            <w:tcW w:type="dxa" w:w="748"/>
            <w:shd w:val="clear" w:color="auto" w:fill="002F6D"/>
          </w:tcPr>
          <w:p>
            <w:pPr>
              <w:pStyle w:val="Compact"/>
            </w:pPr>
            <w:r>
              <w:rPr>
                <w:b/>
                <w:color w:val="FFFFFF"/>
              </w:rPr>
              <w:t xml:space="preserve">No.</w:t>
            </w:r>
          </w:p>
        </w:tc>
        <w:tc>
          <w:tcPr>
            <w:tcW w:type="dxa" w:w="1964"/>
            <w:shd w:val="clear" w:color="auto" w:fill="002F6D"/>
          </w:tcPr>
          <w:p>
            <w:pPr>
              <w:pStyle w:val="Compact"/>
            </w:pPr>
            <w:r>
              <w:rPr>
                <w:b/>
                <w:color w:val="FFFFFF"/>
              </w:rPr>
              <w:t xml:space="preserve">Item</w:t>
            </w:r>
          </w:p>
        </w:tc>
        <w:tc>
          <w:tcPr>
            <w:tcW w:type="dxa" w:w="4583"/>
            <w:shd w:val="clear" w:color="auto" w:fill="002F6D"/>
          </w:tcPr>
          <w:p>
            <w:pPr>
              <w:pStyle w:val="Compact"/>
            </w:pPr>
            <w:r>
              <w:rPr>
                <w:b/>
                <w:color w:val="FFFFFF"/>
              </w:rPr>
              <w:t xml:space="preserve">What to include</w:t>
            </w:r>
          </w:p>
        </w:tc>
        <w:tc>
          <w:tcPr>
            <w:tcW w:type="dxa" w:w="1216"/>
            <w:shd w:val="clear" w:color="auto" w:fill="002F6D"/>
          </w:tcPr>
          <w:p>
            <w:pPr>
              <w:pStyle w:val="Compact"/>
            </w:pPr>
            <w:r>
              <w:rPr>
                <w:b/>
                <w:color w:val="FFFFFF"/>
              </w:rPr>
              <w:t xml:space="preserve">Review</w:t>
            </w:r>
          </w:p>
        </w:tc>
        <w:tc>
          <w:tcPr>
            <w:tcW w:type="dxa" w:w="841"/>
            <w:shd w:val="clear" w:color="auto" w:fill="002F6D"/>
          </w:tcPr>
          <w:p>
            <w:pPr>
              <w:pStyle w:val="Compact"/>
            </w:pPr>
            <w:r>
              <w:rPr>
                <w:b/>
                <w:color w:val="FFFFFF"/>
              </w:rPr>
              <w:t xml:space="preserve">Done</w:t>
            </w:r>
          </w:p>
        </w:tc>
      </w:tr>
      <w:tr>
        <w:trPr>
          <w:cantSplit/>
        </w:trPr>
        <w:tc>
          <w:tcPr>
            <w:tcW w:type="dxa" w:w="748"/>
          </w:tcPr>
          <w:p>
            <w:pPr>
              <w:pStyle w:val="Compact"/>
            </w:pPr>
            <w:r>
              <w:t xml:space="preserve">A6.1</w:t>
            </w:r>
          </w:p>
        </w:tc>
        <w:tc>
          <w:tcPr>
            <w:tcW w:type="dxa" w:w="1964"/>
          </w:tcPr>
          <w:p>
            <w:pPr>
              <w:pStyle w:val="Compact"/>
            </w:pPr>
            <w:r>
              <w:t xml:space="preserve">Compliance schedule</w:t>
            </w:r>
          </w:p>
        </w:tc>
        <w:tc>
          <w:tcPr>
            <w:tcW w:type="dxa" w:w="4583"/>
          </w:tcPr>
          <w:p>
            <w:pPr>
              <w:pStyle w:val="Compact"/>
            </w:pPr>
            <w:r>
              <w:t xml:space="preserve">For each property: gas safety record, electrical installation report, fire risk assessment, alarms, and HMO licence where required, with dates. Copies on request</w:t>
            </w:r>
          </w:p>
        </w:tc>
        <w:tc>
          <w:tcPr>
            <w:tcW w:type="dxa" w:w="1216"/>
          </w:tcPr>
          <w:p>
            <w:pPr>
              <w:pStyle w:val="Compact"/>
            </w:pPr>
            <w:r>
              <w:t xml:space="preserve">Annually</w:t>
            </w:r>
          </w:p>
        </w:tc>
        <w:tc>
          <w:tcPr>
            <w:tcW w:type="dxa" w:w="841"/>
          </w:tcPr>
          <w:p>
            <w:pPr>
              <w:pStyle w:val="Compact"/>
            </w:pPr>
            <w:r>
              <w:t xml:space="preserve">☐</w:t>
            </w:r>
          </w:p>
        </w:tc>
      </w:tr>
      <w:tr>
        <w:trPr>
          <w:cantSplit/>
        </w:trPr>
        <w:tc>
          <w:tcPr>
            <w:tcW w:type="dxa" w:w="748"/>
            <w:shd w:val="clear" w:color="auto" w:fill="E6ECF4"/>
          </w:tcPr>
          <w:p>
            <w:pPr>
              <w:pStyle w:val="Compact"/>
            </w:pPr>
            <w:r>
              <w:t xml:space="preserve">A6.2</w:t>
            </w:r>
          </w:p>
        </w:tc>
        <w:tc>
          <w:tcPr>
            <w:tcW w:type="dxa" w:w="1964"/>
            <w:shd w:val="clear" w:color="auto" w:fill="E6ECF4"/>
          </w:tcPr>
          <w:p>
            <w:pPr>
              <w:pStyle w:val="Compact"/>
            </w:pPr>
            <w:r>
              <w:t xml:space="preserve">Licensing and standards</w:t>
            </w:r>
          </w:p>
        </w:tc>
        <w:tc>
          <w:tcPr>
            <w:tcW w:type="dxa" w:w="4583"/>
            <w:shd w:val="clear" w:color="auto" w:fill="E6ECF4"/>
          </w:tcPr>
          <w:p>
            <w:pPr>
              <w:pStyle w:val="Compact"/>
            </w:pPr>
            <w:r>
              <w:t xml:space="preserve">When in force: supported housing licence number or application date, and how the scheme meets the National Supported Housing Standards (Chapter 13, 13.7)</w:t>
            </w:r>
          </w:p>
        </w:tc>
        <w:tc>
          <w:tcPr>
            <w:tcW w:type="dxa" w:w="1216"/>
            <w:shd w:val="clear" w:color="auto" w:fill="E6ECF4"/>
          </w:tcPr>
          <w:p>
            <w:pPr>
              <w:pStyle w:val="Compact"/>
            </w:pPr>
            <w:r>
              <w:t xml:space="preserve">On change</w:t>
            </w:r>
          </w:p>
        </w:tc>
        <w:tc>
          <w:tcPr>
            <w:tcW w:type="dxa" w:w="841"/>
            <w:shd w:val="clear" w:color="auto" w:fill="E6ECF4"/>
          </w:tcPr>
          <w:p>
            <w:pPr>
              <w:pStyle w:val="Compact"/>
            </w:pPr>
            <w:r>
              <w:t xml:space="preserve">☐</w:t>
            </w:r>
          </w:p>
        </w:tc>
      </w:tr>
    </w:tbl>
    <w:p>
      <w:pPr>
        <w:pStyle w:val="BodyText"/>
      </w:pPr>
      <w:r>
        <w:rPr>
          <w:b/>
          <w:bCs/>
        </w:rPr>
        <w:t xml:space="preserve">Covering note.</w:t>
      </w:r>
      <w:r>
        <w:t xml:space="preserve"> </w:t>
      </w:r>
      <w:r>
        <w:t xml:space="preserve">Send the pack with a short covering note that lists the schemes covered, names a contact, and confirms that the provider will notify the council of material changes. State which items are commercially sensitive.</w:t>
      </w:r>
    </w:p>
    <w:bookmarkEnd w:id="16"/>
    <w:bookmarkEnd w:id="17"/>
    <w:bookmarkStart w:id="23" w:name="X3778ba157f24f8f36bb4807c9640da3d221b81b"/>
    <w:p>
      <w:pPr>
        <w:pStyle w:val="Heading2"/>
        <w:pageBreakBefore/>
        <w:pBdr>
          <w:bottom w:val="single" w:sz="12" w:space="4" w:color="FF9202"/>
        </w:pBdr>
      </w:pPr>
      <w:r>
        <w:t xml:space="preserve">Part B: Council version (scheme file review)</w:t>
      </w:r>
    </w:p>
    <w:p>
      <w:pPr>
        <w:pStyle w:val="FirstParagraph"/>
      </w:pPr>
      <w:r>
        <w:t xml:space="preserve">Work through the questions in order. Record the outcome as</w:t>
      </w:r>
      <w:r>
        <w:t xml:space="preserve"> </w:t>
      </w:r>
      <w:r>
        <w:rPr>
          <w:b/>
          <w:bCs/>
        </w:rPr>
        <w:t xml:space="preserve">Met</w:t>
      </w:r>
      <w:r>
        <w:t xml:space="preserve">,</w:t>
      </w:r>
      <w:r>
        <w:t xml:space="preserve"> </w:t>
      </w:r>
      <w:r>
        <w:rPr>
          <w:b/>
          <w:bCs/>
        </w:rPr>
        <w:t xml:space="preserve">Query</w:t>
      </w:r>
      <w:r>
        <w:t xml:space="preserve"> </w:t>
      </w:r>
      <w:r>
        <w:t xml:space="preserve">(with the question raised) or</w:t>
      </w:r>
      <w:r>
        <w:t xml:space="preserve"> </w:t>
      </w:r>
      <w:r>
        <w:rPr>
          <w:b/>
          <w:bCs/>
        </w:rPr>
        <w:t xml:space="preserve">N/A</w:t>
      </w:r>
      <w:r>
        <w:t xml:space="preserve">. Where the answer is Query, use a single consolidated request (Chapter 12, 12.4 and Appendix 9) rather than separate requests.</w:t>
      </w:r>
    </w:p>
    <w:bookmarkStart w:id="18" w:name="X0931b2a4527fc405cb72ae62ebf6896610dd53e"/>
    <w:p>
      <w:pPr>
        <w:pStyle w:val="Heading3"/>
      </w:pPr>
      <w:r>
        <w:t xml:space="preserve">B1. Is the landlord a qualifying body? (Chapter 5)</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928"/>
        <w:gridCol w:w="1870"/>
        <w:gridCol w:w="1309"/>
        <w:gridCol w:w="1496"/>
      </w:tblGrid>
      <w:tr>
        <w:trPr>
          <w:tblHeader w:val="on"/>
          <w:cantSplit/>
          <w:tblHeader w:val="true"/>
        </w:trPr>
        <w:tc>
          <w:tcPr>
            <w:tcW w:type="dxa" w:w="748"/>
            <w:shd w:val="clear" w:color="auto" w:fill="002F6D"/>
          </w:tcPr>
          <w:p>
            <w:pPr>
              <w:pStyle w:val="Compact"/>
            </w:pPr>
            <w:r>
              <w:rPr>
                <w:b/>
                <w:color w:val="FFFFFF"/>
              </w:rPr>
              <w:t xml:space="preserve">Ref</w:t>
            </w:r>
          </w:p>
        </w:tc>
        <w:tc>
          <w:tcPr>
            <w:tcW w:type="dxa" w:w="3928"/>
            <w:shd w:val="clear" w:color="auto" w:fill="002F6D"/>
          </w:tcPr>
          <w:p>
            <w:pPr>
              <w:pStyle w:val="Compact"/>
            </w:pPr>
            <w:r>
              <w:rPr>
                <w:b/>
                <w:color w:val="FFFFFF"/>
              </w:rPr>
              <w:t xml:space="preserve">Question</w:t>
            </w:r>
          </w:p>
        </w:tc>
        <w:tc>
          <w:tcPr>
            <w:tcW w:type="dxa" w:w="1870"/>
            <w:shd w:val="clear" w:color="auto" w:fill="002F6D"/>
          </w:tcPr>
          <w:p>
            <w:pPr>
              <w:pStyle w:val="Compact"/>
            </w:pPr>
            <w:r>
              <w:rPr>
                <w:b/>
                <w:color w:val="FFFFFF"/>
              </w:rPr>
              <w:t xml:space="preserve">Look first</w:t>
            </w:r>
          </w:p>
        </w:tc>
        <w:tc>
          <w:tcPr>
            <w:tcW w:type="dxa" w:w="1309"/>
            <w:shd w:val="clear" w:color="auto" w:fill="002F6D"/>
          </w:tcPr>
          <w:p>
            <w:pPr>
              <w:pStyle w:val="Compact"/>
            </w:pPr>
            <w:r>
              <w:rPr>
                <w:b/>
                <w:color w:val="FFFFFF"/>
              </w:rPr>
              <w:t xml:space="preserve">Pack items</w:t>
            </w:r>
          </w:p>
        </w:tc>
        <w:tc>
          <w:tcPr>
            <w:tcW w:type="dxa" w:w="1496"/>
            <w:shd w:val="clear" w:color="auto" w:fill="002F6D"/>
          </w:tcPr>
          <w:p>
            <w:pPr>
              <w:pStyle w:val="Compact"/>
            </w:pPr>
            <w:r>
              <w:rPr>
                <w:b/>
                <w:color w:val="FFFFFF"/>
              </w:rPr>
              <w:t xml:space="preserve">Outcome</w:t>
            </w:r>
          </w:p>
        </w:tc>
      </w:tr>
      <w:tr>
        <w:trPr>
          <w:cantSplit/>
        </w:trPr>
        <w:tc>
          <w:tcPr>
            <w:tcW w:type="dxa" w:w="748"/>
          </w:tcPr>
          <w:p>
            <w:pPr>
              <w:pStyle w:val="Compact"/>
            </w:pPr>
            <w:r>
              <w:t xml:space="preserve">B1.1</w:t>
            </w:r>
          </w:p>
        </w:tc>
        <w:tc>
          <w:tcPr>
            <w:tcW w:type="dxa" w:w="3928"/>
          </w:tcPr>
          <w:p>
            <w:pPr>
              <w:pStyle w:val="Compact"/>
            </w:pPr>
            <w:r>
              <w:t xml:space="preserve">Which category of landlord is it: council, registered housing association, unregistered housing association, registered charity or voluntary organisation? It only needs to fall within one (para 107)</w:t>
            </w:r>
          </w:p>
        </w:tc>
        <w:tc>
          <w:tcPr>
            <w:tcW w:type="dxa" w:w="1870"/>
          </w:tcPr>
          <w:p>
            <w:pPr>
              <w:pStyle w:val="Compact"/>
            </w:pPr>
            <w:r>
              <w:t xml:space="preserve">Public registers (paras 97, 99, 104 and 112)</w:t>
            </w:r>
          </w:p>
        </w:tc>
        <w:tc>
          <w:tcPr>
            <w:tcW w:type="dxa" w:w="1309"/>
          </w:tcPr>
          <w:p>
            <w:pPr>
              <w:pStyle w:val="Compact"/>
            </w:pPr>
            <w:r>
              <w:t xml:space="preserve">A1.1</w:t>
            </w:r>
          </w:p>
        </w:tc>
        <w:tc>
          <w:tcPr>
            <w:tcW w:type="dxa" w:w="1496"/>
          </w:tcPr>
          <w:p>
            <w:pPr>
              <w:pStyle w:val="Compact"/>
            </w:pPr>
          </w:p>
        </w:tc>
      </w:tr>
      <w:tr>
        <w:trPr>
          <w:cantSplit/>
        </w:trPr>
        <w:tc>
          <w:tcPr>
            <w:tcW w:type="dxa" w:w="748"/>
            <w:shd w:val="clear" w:color="auto" w:fill="E6ECF4"/>
          </w:tcPr>
          <w:p>
            <w:pPr>
              <w:pStyle w:val="Compact"/>
            </w:pPr>
            <w:r>
              <w:t xml:space="preserve">B1.2</w:t>
            </w:r>
          </w:p>
        </w:tc>
        <w:tc>
          <w:tcPr>
            <w:tcW w:type="dxa" w:w="3928"/>
            <w:shd w:val="clear" w:color="auto" w:fill="E6ECF4"/>
          </w:tcPr>
          <w:p>
            <w:pPr>
              <w:pStyle w:val="Compact"/>
            </w:pPr>
            <w:r>
              <w:t xml:space="preserve">If a housing association or voluntary organisation, is it not-for-profit? Look for an asset lock, no dividends and no disguised payments of profit (para 105). Registration does not guarantee it (para 106)</w:t>
            </w:r>
          </w:p>
        </w:tc>
        <w:tc>
          <w:tcPr>
            <w:tcW w:type="dxa" w:w="1870"/>
            <w:shd w:val="clear" w:color="auto" w:fill="E6ECF4"/>
          </w:tcPr>
          <w:p>
            <w:pPr>
              <w:pStyle w:val="Compact"/>
            </w:pPr>
            <w:r>
              <w:t xml:space="preserve">Companies House filings; Charity Commission accounts</w:t>
            </w:r>
          </w:p>
        </w:tc>
        <w:tc>
          <w:tcPr>
            <w:tcW w:type="dxa" w:w="1309"/>
            <w:shd w:val="clear" w:color="auto" w:fill="E6ECF4"/>
          </w:tcPr>
          <w:p>
            <w:pPr>
              <w:pStyle w:val="Compact"/>
            </w:pPr>
            <w:r>
              <w:t xml:space="preserve">A1.2 to A1.4, A1.6</w:t>
            </w:r>
          </w:p>
        </w:tc>
        <w:tc>
          <w:tcPr>
            <w:tcW w:type="dxa" w:w="1496"/>
            <w:shd w:val="clear" w:color="auto" w:fill="E6ECF4"/>
          </w:tcPr>
          <w:p>
            <w:pPr>
              <w:pStyle w:val="Compact"/>
            </w:pPr>
          </w:p>
        </w:tc>
      </w:tr>
      <w:tr>
        <w:trPr>
          <w:cantSplit/>
        </w:trPr>
        <w:tc>
          <w:tcPr>
            <w:tcW w:type="dxa" w:w="748"/>
          </w:tcPr>
          <w:p>
            <w:pPr>
              <w:pStyle w:val="Compact"/>
            </w:pPr>
            <w:r>
              <w:t xml:space="preserve">B1.3</w:t>
            </w:r>
          </w:p>
        </w:tc>
        <w:tc>
          <w:tcPr>
            <w:tcW w:type="dxa" w:w="3928"/>
          </w:tcPr>
          <w:p>
            <w:pPr>
              <w:pStyle w:val="Compact"/>
            </w:pPr>
            <w:r>
              <w:t xml:space="preserve">Are bona fide commercial arrangements with third parties being mistaken for profit-making by the landlord? They do not defeat the test (</w:t>
            </w:r>
            <w:r>
              <w:rPr>
                <w:i/>
                <w:iCs/>
              </w:rPr>
              <w:t xml:space="preserve">Wirral BC v MF</w:t>
            </w:r>
            <w:r>
              <w:t xml:space="preserve">)</w:t>
            </w:r>
          </w:p>
        </w:tc>
        <w:tc>
          <w:tcPr>
            <w:tcW w:type="dxa" w:w="1870"/>
          </w:tcPr>
          <w:p>
            <w:pPr>
              <w:pStyle w:val="Compact"/>
            </w:pPr>
            <w:r>
              <w:t xml:space="preserve">Accounts</w:t>
            </w:r>
          </w:p>
        </w:tc>
        <w:tc>
          <w:tcPr>
            <w:tcW w:type="dxa" w:w="1309"/>
          </w:tcPr>
          <w:p>
            <w:pPr>
              <w:pStyle w:val="Compact"/>
            </w:pPr>
            <w:r>
              <w:t xml:space="preserve">A1.3, A1.4</w:t>
            </w:r>
          </w:p>
        </w:tc>
        <w:tc>
          <w:tcPr>
            <w:tcW w:type="dxa" w:w="1496"/>
          </w:tcPr>
          <w:p>
            <w:pPr>
              <w:pStyle w:val="Compact"/>
            </w:pPr>
          </w:p>
        </w:tc>
      </w:tr>
    </w:tbl>
    <w:bookmarkEnd w:id="18"/>
    <w:bookmarkStart w:id="19" w:name="X2c314a3d79f39400153b03754447ce41f863444"/>
    <w:p>
      <w:pPr>
        <w:pStyle w:val="Heading3"/>
      </w:pPr>
      <w:r>
        <w:t xml:space="preserve">B2. Does the landlord provide the accommodation and control it? (Chapters 5 and 11)</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928"/>
        <w:gridCol w:w="1870"/>
        <w:gridCol w:w="1309"/>
        <w:gridCol w:w="1496"/>
      </w:tblGrid>
      <w:tr>
        <w:trPr>
          <w:tblHeader w:val="on"/>
          <w:cantSplit/>
          <w:tblHeader w:val="true"/>
        </w:trPr>
        <w:tc>
          <w:tcPr>
            <w:tcW w:type="dxa" w:w="748"/>
            <w:shd w:val="clear" w:color="auto" w:fill="002F6D"/>
          </w:tcPr>
          <w:p>
            <w:pPr>
              <w:pStyle w:val="Compact"/>
            </w:pPr>
            <w:r>
              <w:rPr>
                <w:b/>
                <w:color w:val="FFFFFF"/>
              </w:rPr>
              <w:t xml:space="preserve">Ref</w:t>
            </w:r>
          </w:p>
        </w:tc>
        <w:tc>
          <w:tcPr>
            <w:tcW w:type="dxa" w:w="3928"/>
            <w:shd w:val="clear" w:color="auto" w:fill="002F6D"/>
          </w:tcPr>
          <w:p>
            <w:pPr>
              <w:pStyle w:val="Compact"/>
            </w:pPr>
            <w:r>
              <w:rPr>
                <w:b/>
                <w:color w:val="FFFFFF"/>
              </w:rPr>
              <w:t xml:space="preserve">Question</w:t>
            </w:r>
          </w:p>
        </w:tc>
        <w:tc>
          <w:tcPr>
            <w:tcW w:type="dxa" w:w="1870"/>
            <w:shd w:val="clear" w:color="auto" w:fill="002F6D"/>
          </w:tcPr>
          <w:p>
            <w:pPr>
              <w:pStyle w:val="Compact"/>
            </w:pPr>
            <w:r>
              <w:rPr>
                <w:b/>
                <w:color w:val="FFFFFF"/>
              </w:rPr>
              <w:t xml:space="preserve">Look first</w:t>
            </w:r>
          </w:p>
        </w:tc>
        <w:tc>
          <w:tcPr>
            <w:tcW w:type="dxa" w:w="1309"/>
            <w:shd w:val="clear" w:color="auto" w:fill="002F6D"/>
          </w:tcPr>
          <w:p>
            <w:pPr>
              <w:pStyle w:val="Compact"/>
            </w:pPr>
            <w:r>
              <w:rPr>
                <w:b/>
                <w:color w:val="FFFFFF"/>
              </w:rPr>
              <w:t xml:space="preserve">Pack items</w:t>
            </w:r>
          </w:p>
        </w:tc>
        <w:tc>
          <w:tcPr>
            <w:tcW w:type="dxa" w:w="1496"/>
            <w:shd w:val="clear" w:color="auto" w:fill="002F6D"/>
          </w:tcPr>
          <w:p>
            <w:pPr>
              <w:pStyle w:val="Compact"/>
            </w:pPr>
            <w:r>
              <w:rPr>
                <w:b/>
                <w:color w:val="FFFFFF"/>
              </w:rPr>
              <w:t xml:space="preserve">Outcome</w:t>
            </w:r>
          </w:p>
        </w:tc>
      </w:tr>
      <w:tr>
        <w:trPr>
          <w:cantSplit/>
        </w:trPr>
        <w:tc>
          <w:tcPr>
            <w:tcW w:type="dxa" w:w="748"/>
          </w:tcPr>
          <w:p>
            <w:pPr>
              <w:pStyle w:val="Compact"/>
            </w:pPr>
            <w:r>
              <w:t xml:space="preserve">B2.1</w:t>
            </w:r>
          </w:p>
        </w:tc>
        <w:tc>
          <w:tcPr>
            <w:tcW w:type="dxa" w:w="3928"/>
          </w:tcPr>
          <w:p>
            <w:pPr>
              <w:pStyle w:val="Compact"/>
            </w:pPr>
            <w:r>
              <w:t xml:space="preserve">Does the landlord have the legal relationship with the tenant, as owner or leaseholder (paras 89 to 90)?</w:t>
            </w:r>
          </w:p>
        </w:tc>
        <w:tc>
          <w:tcPr>
            <w:tcW w:type="dxa" w:w="1870"/>
          </w:tcPr>
          <w:p>
            <w:pPr>
              <w:pStyle w:val="Compact"/>
            </w:pPr>
            <w:r>
              <w:t xml:space="preserve">Tenancy or licence</w:t>
            </w:r>
          </w:p>
        </w:tc>
        <w:tc>
          <w:tcPr>
            <w:tcW w:type="dxa" w:w="1309"/>
          </w:tcPr>
          <w:p>
            <w:pPr>
              <w:pStyle w:val="Compact"/>
            </w:pPr>
            <w:r>
              <w:t xml:space="preserve">A2.1, A2.6</w:t>
            </w:r>
          </w:p>
        </w:tc>
        <w:tc>
          <w:tcPr>
            <w:tcW w:type="dxa" w:w="1496"/>
          </w:tcPr>
          <w:p>
            <w:pPr>
              <w:pStyle w:val="Compact"/>
            </w:pPr>
          </w:p>
        </w:tc>
      </w:tr>
      <w:tr>
        <w:trPr>
          <w:cantSplit/>
        </w:trPr>
        <w:tc>
          <w:tcPr>
            <w:tcW w:type="dxa" w:w="748"/>
            <w:shd w:val="clear" w:color="auto" w:fill="E6ECF4"/>
          </w:tcPr>
          <w:p>
            <w:pPr>
              <w:pStyle w:val="Compact"/>
            </w:pPr>
            <w:r>
              <w:t xml:space="preserve">B2.2</w:t>
            </w:r>
          </w:p>
        </w:tc>
        <w:tc>
          <w:tcPr>
            <w:tcW w:type="dxa" w:w="3928"/>
            <w:shd w:val="clear" w:color="auto" w:fill="E6ECF4"/>
          </w:tcPr>
          <w:p>
            <w:pPr>
              <w:pStyle w:val="Compact"/>
            </w:pPr>
            <w:r>
              <w:t xml:space="preserve">Does the landlord keep a landlord's usual control, including setting its own rents, or does the owner exert excessive influence (para 132)?</w:t>
            </w:r>
          </w:p>
        </w:tc>
        <w:tc>
          <w:tcPr>
            <w:tcW w:type="dxa" w:w="1870"/>
            <w:shd w:val="clear" w:color="auto" w:fill="E6ECF4"/>
          </w:tcPr>
          <w:p>
            <w:pPr>
              <w:pStyle w:val="Compact"/>
            </w:pPr>
            <w:r>
              <w:t xml:space="preserve">Lease and management agreement</w:t>
            </w:r>
          </w:p>
        </w:tc>
        <w:tc>
          <w:tcPr>
            <w:tcW w:type="dxa" w:w="1309"/>
            <w:shd w:val="clear" w:color="auto" w:fill="E6ECF4"/>
          </w:tcPr>
          <w:p>
            <w:pPr>
              <w:pStyle w:val="Compact"/>
            </w:pPr>
            <w:r>
              <w:t xml:space="preserve">A2.2, A2.3, A2.5</w:t>
            </w:r>
          </w:p>
        </w:tc>
        <w:tc>
          <w:tcPr>
            <w:tcW w:type="dxa" w:w="1496"/>
            <w:shd w:val="clear" w:color="auto" w:fill="E6ECF4"/>
          </w:tcPr>
          <w:p>
            <w:pPr>
              <w:pStyle w:val="Compact"/>
            </w:pPr>
          </w:p>
        </w:tc>
      </w:tr>
      <w:tr>
        <w:trPr>
          <w:cantSplit/>
        </w:trPr>
        <w:tc>
          <w:tcPr>
            <w:tcW w:type="dxa" w:w="748"/>
          </w:tcPr>
          <w:p>
            <w:pPr>
              <w:pStyle w:val="Compact"/>
            </w:pPr>
            <w:r>
              <w:t xml:space="preserve">B2.3</w:t>
            </w:r>
          </w:p>
        </w:tc>
        <w:tc>
          <w:tcPr>
            <w:tcW w:type="dxa" w:w="3928"/>
          </w:tcPr>
          <w:p>
            <w:pPr>
              <w:pStyle w:val="Compact"/>
            </w:pPr>
            <w:r>
              <w:t xml:space="preserve">Are there connected parties, and are conflicts managed (para 131)?</w:t>
            </w:r>
          </w:p>
        </w:tc>
        <w:tc>
          <w:tcPr>
            <w:tcW w:type="dxa" w:w="1870"/>
          </w:tcPr>
          <w:p>
            <w:pPr>
              <w:pStyle w:val="Compact"/>
            </w:pPr>
            <w:r>
              <w:t xml:space="preserve">Companies House</w:t>
            </w:r>
          </w:p>
        </w:tc>
        <w:tc>
          <w:tcPr>
            <w:tcW w:type="dxa" w:w="1309"/>
          </w:tcPr>
          <w:p>
            <w:pPr>
              <w:pStyle w:val="Compact"/>
            </w:pPr>
            <w:r>
              <w:t xml:space="preserve">A2.4</w:t>
            </w:r>
          </w:p>
        </w:tc>
        <w:tc>
          <w:tcPr>
            <w:tcW w:type="dxa" w:w="1496"/>
          </w:tcPr>
          <w:p>
            <w:pPr>
              <w:pStyle w:val="Compact"/>
            </w:pPr>
          </w:p>
        </w:tc>
      </w:tr>
      <w:tr>
        <w:trPr>
          <w:cantSplit/>
        </w:trPr>
        <w:tc>
          <w:tcPr>
            <w:tcW w:type="dxa" w:w="748"/>
            <w:shd w:val="clear" w:color="auto" w:fill="E6ECF4"/>
          </w:tcPr>
          <w:p>
            <w:pPr>
              <w:pStyle w:val="Compact"/>
            </w:pPr>
            <w:r>
              <w:t xml:space="preserve">B2.4</w:t>
            </w:r>
          </w:p>
        </w:tc>
        <w:tc>
          <w:tcPr>
            <w:tcW w:type="dxa" w:w="3928"/>
            <w:shd w:val="clear" w:color="auto" w:fill="E6ECF4"/>
          </w:tcPr>
          <w:p>
            <w:pPr>
              <w:pStyle w:val="Compact"/>
            </w:pPr>
            <w:r>
              <w:t xml:space="preserve">Is the lease-based model being used in a way that raises genuine concern, judged on its terms, not its label (</w:t>
            </w:r>
            <w:r>
              <w:rPr>
                <w:i/>
                <w:iCs/>
              </w:rPr>
              <w:t xml:space="preserve">FYE</w:t>
            </w:r>
            <w:r>
              <w:t xml:space="preserve">, para 11)?</w:t>
            </w:r>
          </w:p>
        </w:tc>
        <w:tc>
          <w:tcPr>
            <w:tcW w:type="dxa" w:w="1870"/>
            <w:shd w:val="clear" w:color="auto" w:fill="E6ECF4"/>
          </w:tcPr>
          <w:p>
            <w:pPr>
              <w:pStyle w:val="Compact"/>
            </w:pPr>
            <w:r>
              <w:t xml:space="preserve">Lease schedule</w:t>
            </w:r>
          </w:p>
        </w:tc>
        <w:tc>
          <w:tcPr>
            <w:tcW w:type="dxa" w:w="1309"/>
            <w:shd w:val="clear" w:color="auto" w:fill="E6ECF4"/>
          </w:tcPr>
          <w:p>
            <w:pPr>
              <w:pStyle w:val="Compact"/>
            </w:pPr>
            <w:r>
              <w:t xml:space="preserve">A2.2, A2.3</w:t>
            </w:r>
          </w:p>
        </w:tc>
        <w:tc>
          <w:tcPr>
            <w:tcW w:type="dxa" w:w="1496"/>
            <w:shd w:val="clear" w:color="auto" w:fill="E6ECF4"/>
          </w:tcPr>
          <w:p>
            <w:pPr>
              <w:pStyle w:val="Compact"/>
            </w:pPr>
          </w:p>
        </w:tc>
      </w:tr>
    </w:tbl>
    <w:bookmarkEnd w:id="19"/>
    <w:bookmarkStart w:id="20" w:name="Xf95ce48622ce7e86d5cc9c683b3bacf9d06d1bb"/>
    <w:p>
      <w:pPr>
        <w:pStyle w:val="Heading3"/>
      </w:pPr>
      <w:r>
        <w:t xml:space="preserve">B3. Is care, support or supervision provided by or on behalf of the landlord? (Chapters 6 to 8)</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928"/>
        <w:gridCol w:w="1870"/>
        <w:gridCol w:w="1309"/>
        <w:gridCol w:w="1496"/>
      </w:tblGrid>
      <w:tr>
        <w:trPr>
          <w:tblHeader w:val="on"/>
          <w:cantSplit/>
          <w:tblHeader w:val="true"/>
        </w:trPr>
        <w:tc>
          <w:tcPr>
            <w:tcW w:type="dxa" w:w="748"/>
            <w:shd w:val="clear" w:color="auto" w:fill="002F6D"/>
          </w:tcPr>
          <w:p>
            <w:pPr>
              <w:pStyle w:val="Compact"/>
            </w:pPr>
            <w:r>
              <w:rPr>
                <w:b/>
                <w:color w:val="FFFFFF"/>
              </w:rPr>
              <w:t xml:space="preserve">Ref</w:t>
            </w:r>
          </w:p>
        </w:tc>
        <w:tc>
          <w:tcPr>
            <w:tcW w:type="dxa" w:w="3928"/>
            <w:shd w:val="clear" w:color="auto" w:fill="002F6D"/>
          </w:tcPr>
          <w:p>
            <w:pPr>
              <w:pStyle w:val="Compact"/>
            </w:pPr>
            <w:r>
              <w:rPr>
                <w:b/>
                <w:color w:val="FFFFFF"/>
              </w:rPr>
              <w:t xml:space="preserve">Question</w:t>
            </w:r>
          </w:p>
        </w:tc>
        <w:tc>
          <w:tcPr>
            <w:tcW w:type="dxa" w:w="1870"/>
            <w:shd w:val="clear" w:color="auto" w:fill="002F6D"/>
          </w:tcPr>
          <w:p>
            <w:pPr>
              <w:pStyle w:val="Compact"/>
            </w:pPr>
            <w:r>
              <w:rPr>
                <w:b/>
                <w:color w:val="FFFFFF"/>
              </w:rPr>
              <w:t xml:space="preserve">Look first</w:t>
            </w:r>
          </w:p>
        </w:tc>
        <w:tc>
          <w:tcPr>
            <w:tcW w:type="dxa" w:w="1309"/>
            <w:shd w:val="clear" w:color="auto" w:fill="002F6D"/>
          </w:tcPr>
          <w:p>
            <w:pPr>
              <w:pStyle w:val="Compact"/>
            </w:pPr>
            <w:r>
              <w:rPr>
                <w:b/>
                <w:color w:val="FFFFFF"/>
              </w:rPr>
              <w:t xml:space="preserve">Pack items</w:t>
            </w:r>
          </w:p>
        </w:tc>
        <w:tc>
          <w:tcPr>
            <w:tcW w:type="dxa" w:w="1496"/>
            <w:shd w:val="clear" w:color="auto" w:fill="002F6D"/>
          </w:tcPr>
          <w:p>
            <w:pPr>
              <w:pStyle w:val="Compact"/>
            </w:pPr>
            <w:r>
              <w:rPr>
                <w:b/>
                <w:color w:val="FFFFFF"/>
              </w:rPr>
              <w:t xml:space="preserve">Outcome</w:t>
            </w:r>
          </w:p>
        </w:tc>
      </w:tr>
      <w:tr>
        <w:trPr>
          <w:cantSplit/>
        </w:trPr>
        <w:tc>
          <w:tcPr>
            <w:tcW w:type="dxa" w:w="748"/>
          </w:tcPr>
          <w:p>
            <w:pPr>
              <w:pStyle w:val="Compact"/>
            </w:pPr>
            <w:r>
              <w:t xml:space="preserve">B3.1</w:t>
            </w:r>
          </w:p>
        </w:tc>
        <w:tc>
          <w:tcPr>
            <w:tcW w:type="dxa" w:w="3928"/>
          </w:tcPr>
          <w:p>
            <w:pPr>
              <w:pStyle w:val="Compact"/>
            </w:pPr>
            <w:r>
              <w:t xml:space="preserve">What care, support or supervision is provided, including housing-related support, supervision, on-call cover, and intensive housing management and maintenance?</w:t>
            </w:r>
          </w:p>
        </w:tc>
        <w:tc>
          <w:tcPr>
            <w:tcW w:type="dxa" w:w="1870"/>
          </w:tcPr>
          <w:p>
            <w:pPr>
              <w:pStyle w:val="Compact"/>
            </w:pPr>
            <w:r>
              <w:t xml:space="preserve">Service description</w:t>
            </w:r>
          </w:p>
        </w:tc>
        <w:tc>
          <w:tcPr>
            <w:tcW w:type="dxa" w:w="1309"/>
          </w:tcPr>
          <w:p>
            <w:pPr>
              <w:pStyle w:val="Compact"/>
            </w:pPr>
            <w:r>
              <w:t xml:space="preserve">A3.3, A3.5</w:t>
            </w:r>
          </w:p>
        </w:tc>
        <w:tc>
          <w:tcPr>
            <w:tcW w:type="dxa" w:w="1496"/>
          </w:tcPr>
          <w:p>
            <w:pPr>
              <w:pStyle w:val="Compact"/>
            </w:pPr>
          </w:p>
        </w:tc>
      </w:tr>
      <w:tr>
        <w:trPr>
          <w:cantSplit/>
        </w:trPr>
        <w:tc>
          <w:tcPr>
            <w:tcW w:type="dxa" w:w="748"/>
            <w:shd w:val="clear" w:color="auto" w:fill="E6ECF4"/>
          </w:tcPr>
          <w:p>
            <w:pPr>
              <w:pStyle w:val="Compact"/>
            </w:pPr>
            <w:r>
              <w:t xml:space="preserve">B3.2</w:t>
            </w:r>
          </w:p>
        </w:tc>
        <w:tc>
          <w:tcPr>
            <w:tcW w:type="dxa" w:w="3928"/>
            <w:shd w:val="clear" w:color="auto" w:fill="E6ECF4"/>
          </w:tcPr>
          <w:p>
            <w:pPr>
              <w:pStyle w:val="Compact"/>
            </w:pPr>
            <w:r>
              <w:t xml:space="preserve">Is it provided by the landlord or by a third party engaged by the landlord, not merely a joint venture (para 140; R(H) 2/07)?</w:t>
            </w:r>
          </w:p>
        </w:tc>
        <w:tc>
          <w:tcPr>
            <w:tcW w:type="dxa" w:w="1870"/>
            <w:shd w:val="clear" w:color="auto" w:fill="E6ECF4"/>
          </w:tcPr>
          <w:p>
            <w:pPr>
              <w:pStyle w:val="Compact"/>
            </w:pPr>
            <w:r>
              <w:t xml:space="preserve">Contract or SLA</w:t>
            </w:r>
          </w:p>
        </w:tc>
        <w:tc>
          <w:tcPr>
            <w:tcW w:type="dxa" w:w="1309"/>
            <w:shd w:val="clear" w:color="auto" w:fill="E6ECF4"/>
          </w:tcPr>
          <w:p>
            <w:pPr>
              <w:pStyle w:val="Compact"/>
            </w:pPr>
            <w:r>
              <w:t xml:space="preserve">A3.6</w:t>
            </w:r>
          </w:p>
        </w:tc>
        <w:tc>
          <w:tcPr>
            <w:tcW w:type="dxa" w:w="1496"/>
            <w:shd w:val="clear" w:color="auto" w:fill="E6ECF4"/>
          </w:tcPr>
          <w:p>
            <w:pPr>
              <w:pStyle w:val="Compact"/>
            </w:pPr>
          </w:p>
        </w:tc>
      </w:tr>
      <w:tr>
        <w:trPr>
          <w:cantSplit/>
        </w:trPr>
        <w:tc>
          <w:tcPr>
            <w:tcW w:type="dxa" w:w="748"/>
          </w:tcPr>
          <w:p>
            <w:pPr>
              <w:pStyle w:val="Compact"/>
            </w:pPr>
            <w:r>
              <w:t xml:space="preserve">B3.3</w:t>
            </w:r>
          </w:p>
        </w:tc>
        <w:tc>
          <w:tcPr>
            <w:tcW w:type="dxa" w:w="3928"/>
          </w:tcPr>
          <w:p>
            <w:pPr>
              <w:pStyle w:val="Compact"/>
            </w:pPr>
            <w:r>
              <w:t xml:space="preserve">At scheme level, is the support more than minimal, judged on its substance, with no set number of hours (para 151)? Claimant-level need and receipt are checked under Chapter 14</w:t>
            </w:r>
          </w:p>
        </w:tc>
        <w:tc>
          <w:tcPr>
            <w:tcW w:type="dxa" w:w="1870"/>
          </w:tcPr>
          <w:p>
            <w:pPr>
              <w:pStyle w:val="Compact"/>
            </w:pPr>
            <w:r>
              <w:t xml:space="preserve">Service description and staffing</w:t>
            </w:r>
          </w:p>
        </w:tc>
        <w:tc>
          <w:tcPr>
            <w:tcW w:type="dxa" w:w="1309"/>
          </w:tcPr>
          <w:p>
            <w:pPr>
              <w:pStyle w:val="Compact"/>
            </w:pPr>
            <w:r>
              <w:t xml:space="preserve">A3.3 to A3.5</w:t>
            </w:r>
          </w:p>
        </w:tc>
        <w:tc>
          <w:tcPr>
            <w:tcW w:type="dxa" w:w="1496"/>
          </w:tcPr>
          <w:p>
            <w:pPr>
              <w:pStyle w:val="Compact"/>
            </w:pPr>
          </w:p>
        </w:tc>
      </w:tr>
      <w:tr>
        <w:trPr>
          <w:cantSplit/>
        </w:trPr>
        <w:tc>
          <w:tcPr>
            <w:tcW w:type="dxa" w:w="748"/>
            <w:shd w:val="clear" w:color="auto" w:fill="E6ECF4"/>
          </w:tcPr>
          <w:p>
            <w:pPr>
              <w:pStyle w:val="Compact"/>
            </w:pPr>
            <w:r>
              <w:t xml:space="preserve">B3.4</w:t>
            </w:r>
          </w:p>
        </w:tc>
        <w:tc>
          <w:tcPr>
            <w:tcW w:type="dxa" w:w="3928"/>
            <w:shd w:val="clear" w:color="auto" w:fill="E6ECF4"/>
          </w:tcPr>
          <w:p>
            <w:pPr>
              <w:pStyle w:val="Compact"/>
            </w:pPr>
            <w:r>
              <w:t xml:space="preserve">Are tenants referred and assessed within the council-approved referrals framework, with self-referrals limited to emergencies and hard to reach cohorts?</w:t>
            </w:r>
          </w:p>
        </w:tc>
        <w:tc>
          <w:tcPr>
            <w:tcW w:type="dxa" w:w="1870"/>
            <w:shd w:val="clear" w:color="auto" w:fill="E6ECF4"/>
          </w:tcPr>
          <w:p>
            <w:pPr>
              <w:pStyle w:val="Compact"/>
            </w:pPr>
            <w:r>
              <w:t xml:space="preserve">Council's housing options and commissioning teams</w:t>
            </w:r>
          </w:p>
        </w:tc>
        <w:tc>
          <w:tcPr>
            <w:tcW w:type="dxa" w:w="1309"/>
            <w:shd w:val="clear" w:color="auto" w:fill="E6ECF4"/>
          </w:tcPr>
          <w:p>
            <w:pPr>
              <w:pStyle w:val="Compact"/>
            </w:pPr>
            <w:r>
              <w:t xml:space="preserve">A3.1, A3.2</w:t>
            </w:r>
          </w:p>
        </w:tc>
        <w:tc>
          <w:tcPr>
            <w:tcW w:type="dxa" w:w="1496"/>
            <w:shd w:val="clear" w:color="auto" w:fill="E6ECF4"/>
          </w:tcPr>
          <w:p>
            <w:pPr>
              <w:pStyle w:val="Compact"/>
            </w:pPr>
          </w:p>
        </w:tc>
      </w:tr>
      <w:tr>
        <w:trPr>
          <w:cantSplit/>
        </w:trPr>
        <w:tc>
          <w:tcPr>
            <w:tcW w:type="dxa" w:w="748"/>
          </w:tcPr>
          <w:p>
            <w:pPr>
              <w:pStyle w:val="Compact"/>
            </w:pPr>
            <w:r>
              <w:t xml:space="preserve">B3.5</w:t>
            </w:r>
          </w:p>
        </w:tc>
        <w:tc>
          <w:tcPr>
            <w:tcW w:type="dxa" w:w="3928"/>
          </w:tcPr>
          <w:p>
            <w:pPr>
              <w:pStyle w:val="Compact"/>
            </w:pPr>
            <w:r>
              <w:t xml:space="preserve">Is any ineligible care or personal support provided and, if so, how is it funded (paras 160 to 162)? No notional deduction applies where the support relied on is eligible intensive housing management and supervision (Chapter 3, 3.4.1)</w:t>
            </w:r>
          </w:p>
        </w:tc>
        <w:tc>
          <w:tcPr>
            <w:tcW w:type="dxa" w:w="1870"/>
          </w:tcPr>
          <w:p>
            <w:pPr>
              <w:pStyle w:val="Compact"/>
            </w:pPr>
            <w:r>
              <w:t xml:space="preserve">Commissioning records</w:t>
            </w:r>
          </w:p>
        </w:tc>
        <w:tc>
          <w:tcPr>
            <w:tcW w:type="dxa" w:w="1309"/>
          </w:tcPr>
          <w:p>
            <w:pPr>
              <w:pStyle w:val="Compact"/>
            </w:pPr>
            <w:r>
              <w:t xml:space="preserve">A3.7</w:t>
            </w:r>
          </w:p>
        </w:tc>
        <w:tc>
          <w:tcPr>
            <w:tcW w:type="dxa" w:w="1496"/>
          </w:tcPr>
          <w:p>
            <w:pPr>
              <w:pStyle w:val="Compact"/>
            </w:pPr>
          </w:p>
        </w:tc>
      </w:tr>
    </w:tbl>
    <w:bookmarkEnd w:id="20"/>
    <w:bookmarkStart w:id="21" w:name="X3b228f8ae0e8a890de95b061709a90416f8b535"/>
    <w:p>
      <w:pPr>
        <w:pStyle w:val="Heading3"/>
      </w:pPr>
      <w:r>
        <w:t xml:space="preserve">B4. Are the rent and service charges eligible and reasonable? (Chapters 9 and 10)</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928"/>
        <w:gridCol w:w="1870"/>
        <w:gridCol w:w="1309"/>
        <w:gridCol w:w="1496"/>
      </w:tblGrid>
      <w:tr>
        <w:trPr>
          <w:tblHeader w:val="on"/>
          <w:cantSplit/>
          <w:tblHeader w:val="true"/>
        </w:trPr>
        <w:tc>
          <w:tcPr>
            <w:tcW w:type="dxa" w:w="748"/>
            <w:shd w:val="clear" w:color="auto" w:fill="002F6D"/>
          </w:tcPr>
          <w:p>
            <w:pPr>
              <w:pStyle w:val="Compact"/>
            </w:pPr>
            <w:r>
              <w:rPr>
                <w:b/>
                <w:color w:val="FFFFFF"/>
              </w:rPr>
              <w:t xml:space="preserve">Ref</w:t>
            </w:r>
          </w:p>
        </w:tc>
        <w:tc>
          <w:tcPr>
            <w:tcW w:type="dxa" w:w="3928"/>
            <w:shd w:val="clear" w:color="auto" w:fill="002F6D"/>
          </w:tcPr>
          <w:p>
            <w:pPr>
              <w:pStyle w:val="Compact"/>
            </w:pPr>
            <w:r>
              <w:rPr>
                <w:b/>
                <w:color w:val="FFFFFF"/>
              </w:rPr>
              <w:t xml:space="preserve">Question</w:t>
            </w:r>
          </w:p>
        </w:tc>
        <w:tc>
          <w:tcPr>
            <w:tcW w:type="dxa" w:w="1870"/>
            <w:shd w:val="clear" w:color="auto" w:fill="002F6D"/>
          </w:tcPr>
          <w:p>
            <w:pPr>
              <w:pStyle w:val="Compact"/>
            </w:pPr>
            <w:r>
              <w:rPr>
                <w:b/>
                <w:color w:val="FFFFFF"/>
              </w:rPr>
              <w:t xml:space="preserve">Look first</w:t>
            </w:r>
          </w:p>
        </w:tc>
        <w:tc>
          <w:tcPr>
            <w:tcW w:type="dxa" w:w="1309"/>
            <w:shd w:val="clear" w:color="auto" w:fill="002F6D"/>
          </w:tcPr>
          <w:p>
            <w:pPr>
              <w:pStyle w:val="Compact"/>
            </w:pPr>
            <w:r>
              <w:rPr>
                <w:b/>
                <w:color w:val="FFFFFF"/>
              </w:rPr>
              <w:t xml:space="preserve">Pack items</w:t>
            </w:r>
          </w:p>
        </w:tc>
        <w:tc>
          <w:tcPr>
            <w:tcW w:type="dxa" w:w="1496"/>
            <w:shd w:val="clear" w:color="auto" w:fill="002F6D"/>
          </w:tcPr>
          <w:p>
            <w:pPr>
              <w:pStyle w:val="Compact"/>
            </w:pPr>
            <w:r>
              <w:rPr>
                <w:b/>
                <w:color w:val="FFFFFF"/>
              </w:rPr>
              <w:t xml:space="preserve">Outcome</w:t>
            </w:r>
          </w:p>
        </w:tc>
      </w:tr>
      <w:tr>
        <w:trPr>
          <w:cantSplit/>
        </w:trPr>
        <w:tc>
          <w:tcPr>
            <w:tcW w:type="dxa" w:w="748"/>
          </w:tcPr>
          <w:p>
            <w:pPr>
              <w:pStyle w:val="Compact"/>
            </w:pPr>
            <w:r>
              <w:t xml:space="preserve">B4.1</w:t>
            </w:r>
          </w:p>
        </w:tc>
        <w:tc>
          <w:tcPr>
            <w:tcW w:type="dxa" w:w="3928"/>
          </w:tcPr>
          <w:p>
            <w:pPr>
              <w:pStyle w:val="Compact"/>
            </w:pPr>
            <w:r>
              <w:t xml:space="preserve">Is there a current build-up separating core rent from each service charge (para 168)?</w:t>
            </w:r>
          </w:p>
        </w:tc>
        <w:tc>
          <w:tcPr>
            <w:tcW w:type="dxa" w:w="1870"/>
          </w:tcPr>
          <w:p>
            <w:pPr>
              <w:pStyle w:val="Compact"/>
            </w:pPr>
            <w:r>
              <w:t xml:space="preserve">Scheme file</w:t>
            </w:r>
          </w:p>
        </w:tc>
        <w:tc>
          <w:tcPr>
            <w:tcW w:type="dxa" w:w="1309"/>
          </w:tcPr>
          <w:p>
            <w:pPr>
              <w:pStyle w:val="Compact"/>
            </w:pPr>
            <w:r>
              <w:t xml:space="preserve">A4.1</w:t>
            </w:r>
          </w:p>
        </w:tc>
        <w:tc>
          <w:tcPr>
            <w:tcW w:type="dxa" w:w="1496"/>
          </w:tcPr>
          <w:p>
            <w:pPr>
              <w:pStyle w:val="Compact"/>
            </w:pPr>
          </w:p>
        </w:tc>
      </w:tr>
      <w:tr>
        <w:trPr>
          <w:cantSplit/>
        </w:trPr>
        <w:tc>
          <w:tcPr>
            <w:tcW w:type="dxa" w:w="748"/>
            <w:shd w:val="clear" w:color="auto" w:fill="E6ECF4"/>
          </w:tcPr>
          <w:p>
            <w:pPr>
              <w:pStyle w:val="Compact"/>
            </w:pPr>
            <w:r>
              <w:t xml:space="preserve">B4.2</w:t>
            </w:r>
          </w:p>
        </w:tc>
        <w:tc>
          <w:tcPr>
            <w:tcW w:type="dxa" w:w="3928"/>
            <w:shd w:val="clear" w:color="auto" w:fill="E6ECF4"/>
          </w:tcPr>
          <w:p>
            <w:pPr>
              <w:pStyle w:val="Compact"/>
            </w:pPr>
            <w:r>
              <w:t xml:space="preserve">Is each charge correctly classed as eligible or ineligible under Schedule 1, including housing-related support, supervision and help with Housing Benefit as eligible (Chapter 9)?</w:t>
            </w:r>
          </w:p>
        </w:tc>
        <w:tc>
          <w:tcPr>
            <w:tcW w:type="dxa" w:w="1870"/>
            <w:shd w:val="clear" w:color="auto" w:fill="E6ECF4"/>
          </w:tcPr>
          <w:p>
            <w:pPr>
              <w:pStyle w:val="Compact"/>
            </w:pPr>
            <w:r>
              <w:t xml:space="preserve">Build-up</w:t>
            </w:r>
          </w:p>
        </w:tc>
        <w:tc>
          <w:tcPr>
            <w:tcW w:type="dxa" w:w="1309"/>
            <w:shd w:val="clear" w:color="auto" w:fill="E6ECF4"/>
          </w:tcPr>
          <w:p>
            <w:pPr>
              <w:pStyle w:val="Compact"/>
            </w:pPr>
            <w:r>
              <w:t xml:space="preserve">A4.2</w:t>
            </w:r>
          </w:p>
        </w:tc>
        <w:tc>
          <w:tcPr>
            <w:tcW w:type="dxa" w:w="1496"/>
            <w:shd w:val="clear" w:color="auto" w:fill="E6ECF4"/>
          </w:tcPr>
          <w:p>
            <w:pPr>
              <w:pStyle w:val="Compact"/>
            </w:pPr>
          </w:p>
        </w:tc>
      </w:tr>
      <w:tr>
        <w:trPr>
          <w:cantSplit/>
        </w:trPr>
        <w:tc>
          <w:tcPr>
            <w:tcW w:type="dxa" w:w="748"/>
          </w:tcPr>
          <w:p>
            <w:pPr>
              <w:pStyle w:val="Compact"/>
            </w:pPr>
            <w:r>
              <w:t xml:space="preserve">B4.3</w:t>
            </w:r>
          </w:p>
        </w:tc>
        <w:tc>
          <w:tcPr>
            <w:tcW w:type="dxa" w:w="3928"/>
          </w:tcPr>
          <w:p>
            <w:pPr>
              <w:pStyle w:val="Compact"/>
            </w:pPr>
            <w:r>
              <w:t xml:space="preserve">Is the apportionment method reasonable and consistently applied (Chapter 9, 9.3)?</w:t>
            </w:r>
          </w:p>
        </w:tc>
        <w:tc>
          <w:tcPr>
            <w:tcW w:type="dxa" w:w="1870"/>
          </w:tcPr>
          <w:p>
            <w:pPr>
              <w:pStyle w:val="Compact"/>
            </w:pPr>
            <w:r>
              <w:t xml:space="preserve">Build-up</w:t>
            </w:r>
          </w:p>
        </w:tc>
        <w:tc>
          <w:tcPr>
            <w:tcW w:type="dxa" w:w="1309"/>
          </w:tcPr>
          <w:p>
            <w:pPr>
              <w:pStyle w:val="Compact"/>
            </w:pPr>
            <w:r>
              <w:t xml:space="preserve">A4.3</w:t>
            </w:r>
          </w:p>
        </w:tc>
        <w:tc>
          <w:tcPr>
            <w:tcW w:type="dxa" w:w="1496"/>
          </w:tcPr>
          <w:p>
            <w:pPr>
              <w:pStyle w:val="Compact"/>
            </w:pPr>
          </w:p>
        </w:tc>
      </w:tr>
      <w:tr>
        <w:trPr>
          <w:cantSplit/>
        </w:trPr>
        <w:tc>
          <w:tcPr>
            <w:tcW w:type="dxa" w:w="748"/>
            <w:shd w:val="clear" w:color="auto" w:fill="E6ECF4"/>
          </w:tcPr>
          <w:p>
            <w:pPr>
              <w:pStyle w:val="Compact"/>
            </w:pPr>
            <w:r>
              <w:t xml:space="preserve">B4.4</w:t>
            </w:r>
          </w:p>
        </w:tc>
        <w:tc>
          <w:tcPr>
            <w:tcW w:type="dxa" w:w="3928"/>
            <w:shd w:val="clear" w:color="auto" w:fill="E6ECF4"/>
          </w:tcPr>
          <w:p>
            <w:pPr>
              <w:pStyle w:val="Compact"/>
            </w:pPr>
            <w:r>
              <w:t xml:space="preserve">Is any eligible charge excessive, judged on evidence rather than on the absence of comparables (</w:t>
            </w:r>
            <w:r>
              <w:rPr>
                <w:i/>
                <w:iCs/>
              </w:rPr>
              <w:t xml:space="preserve">ET v Rossendale</w:t>
            </w:r>
            <w:r>
              <w:t xml:space="preserve">)?</w:t>
            </w:r>
          </w:p>
        </w:tc>
        <w:tc>
          <w:tcPr>
            <w:tcW w:type="dxa" w:w="1870"/>
            <w:shd w:val="clear" w:color="auto" w:fill="E6ECF4"/>
          </w:tcPr>
          <w:p>
            <w:pPr>
              <w:pStyle w:val="Compact"/>
            </w:pPr>
            <w:r>
              <w:t xml:space="preserve">Build-up and any comparators</w:t>
            </w:r>
          </w:p>
        </w:tc>
        <w:tc>
          <w:tcPr>
            <w:tcW w:type="dxa" w:w="1309"/>
            <w:shd w:val="clear" w:color="auto" w:fill="E6ECF4"/>
          </w:tcPr>
          <w:p>
            <w:pPr>
              <w:pStyle w:val="Compact"/>
            </w:pPr>
            <w:r>
              <w:t xml:space="preserve">A4.1, A4.5</w:t>
            </w:r>
          </w:p>
        </w:tc>
        <w:tc>
          <w:tcPr>
            <w:tcW w:type="dxa" w:w="1496"/>
            <w:shd w:val="clear" w:color="auto" w:fill="E6ECF4"/>
          </w:tcPr>
          <w:p>
            <w:pPr>
              <w:pStyle w:val="Compact"/>
            </w:pPr>
          </w:p>
        </w:tc>
      </w:tr>
      <w:tr>
        <w:trPr>
          <w:cantSplit/>
        </w:trPr>
        <w:tc>
          <w:tcPr>
            <w:tcW w:type="dxa" w:w="748"/>
          </w:tcPr>
          <w:p>
            <w:pPr>
              <w:pStyle w:val="Compact"/>
            </w:pPr>
            <w:r>
              <w:t xml:space="preserve">B4.5</w:t>
            </w:r>
          </w:p>
        </w:tc>
        <w:tc>
          <w:tcPr>
            <w:tcW w:type="dxa" w:w="3928"/>
          </w:tcPr>
          <w:p>
            <w:pPr>
              <w:pStyle w:val="Compact"/>
            </w:pPr>
            <w:r>
              <w:t xml:space="preserve">Is the rent unreasonably high compared with suitable alternative accommodation, using true comparators, with local indicators used as triggers, not caps (Chapter 10)?</w:t>
            </w:r>
          </w:p>
        </w:tc>
        <w:tc>
          <w:tcPr>
            <w:tcW w:type="dxa" w:w="1870"/>
          </w:tcPr>
          <w:p>
            <w:pPr>
              <w:pStyle w:val="Compact"/>
            </w:pPr>
            <w:r>
              <w:t xml:space="preserve">Council's comparator evidence</w:t>
            </w:r>
          </w:p>
        </w:tc>
        <w:tc>
          <w:tcPr>
            <w:tcW w:type="dxa" w:w="1309"/>
          </w:tcPr>
          <w:p>
            <w:pPr>
              <w:pStyle w:val="Compact"/>
            </w:pPr>
            <w:r>
              <w:t xml:space="preserve">A4.1, A4.5</w:t>
            </w:r>
          </w:p>
        </w:tc>
        <w:tc>
          <w:tcPr>
            <w:tcW w:type="dxa" w:w="1496"/>
          </w:tcPr>
          <w:p>
            <w:pPr>
              <w:pStyle w:val="Compact"/>
            </w:pPr>
          </w:p>
        </w:tc>
      </w:tr>
      <w:tr>
        <w:trPr>
          <w:cantSplit/>
        </w:trPr>
        <w:tc>
          <w:tcPr>
            <w:tcW w:type="dxa" w:w="748"/>
            <w:shd w:val="clear" w:color="auto" w:fill="E6ECF4"/>
          </w:tcPr>
          <w:p>
            <w:pPr>
              <w:pStyle w:val="Compact"/>
            </w:pPr>
            <w:r>
              <w:t xml:space="preserve">B4.6</w:t>
            </w:r>
          </w:p>
        </w:tc>
        <w:tc>
          <w:tcPr>
            <w:tcW w:type="dxa" w:w="3928"/>
            <w:shd w:val="clear" w:color="auto" w:fill="E6ECF4"/>
          </w:tcPr>
          <w:p>
            <w:pPr>
              <w:pStyle w:val="Compact"/>
            </w:pPr>
            <w:r>
              <w:t xml:space="preserve">On an increase, is it justified on the year-on-year comparison, judged in cash terms, and has a lesser increase been considered (para 238;</w:t>
            </w:r>
            <w:r>
              <w:t xml:space="preserve"> </w:t>
            </w:r>
            <w:r>
              <w:rPr>
                <w:i/>
                <w:iCs/>
              </w:rPr>
              <w:t xml:space="preserve">BM</w:t>
            </w:r>
            <w:r>
              <w:t xml:space="preserve">)?</w:t>
            </w:r>
          </w:p>
        </w:tc>
        <w:tc>
          <w:tcPr>
            <w:tcW w:type="dxa" w:w="1870"/>
            <w:shd w:val="clear" w:color="auto" w:fill="E6ECF4"/>
          </w:tcPr>
          <w:p>
            <w:pPr>
              <w:pStyle w:val="Compact"/>
            </w:pPr>
            <w:r>
              <w:t xml:space="preserve">Previous year's build-up</w:t>
            </w:r>
          </w:p>
        </w:tc>
        <w:tc>
          <w:tcPr>
            <w:tcW w:type="dxa" w:w="1309"/>
            <w:shd w:val="clear" w:color="auto" w:fill="E6ECF4"/>
          </w:tcPr>
          <w:p>
            <w:pPr>
              <w:pStyle w:val="Compact"/>
            </w:pPr>
            <w:r>
              <w:t xml:space="preserve">A4.4</w:t>
            </w:r>
          </w:p>
        </w:tc>
        <w:tc>
          <w:tcPr>
            <w:tcW w:type="dxa" w:w="1496"/>
            <w:shd w:val="clear" w:color="auto" w:fill="E6ECF4"/>
          </w:tcPr>
          <w:p>
            <w:pPr>
              <w:pStyle w:val="Compact"/>
            </w:pPr>
          </w:p>
        </w:tc>
      </w:tr>
    </w:tbl>
    <w:bookmarkEnd w:id="21"/>
    <w:bookmarkStart w:id="22" w:name="X03f35edf412e2e3c6651e5e09c78a9b170ebe9a"/>
    <w:p>
      <w:pPr>
        <w:pStyle w:val="Heading3"/>
      </w:pPr>
      <w:r>
        <w:t xml:space="preserve">B5. Commissioning, local fit and compliance (Chapters 13 and 22)</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928"/>
        <w:gridCol w:w="1870"/>
        <w:gridCol w:w="1309"/>
        <w:gridCol w:w="1496"/>
      </w:tblGrid>
      <w:tr>
        <w:trPr>
          <w:tblHeader w:val="on"/>
          <w:cantSplit/>
          <w:tblHeader w:val="true"/>
        </w:trPr>
        <w:tc>
          <w:tcPr>
            <w:tcW w:type="dxa" w:w="748"/>
            <w:shd w:val="clear" w:color="auto" w:fill="002F6D"/>
          </w:tcPr>
          <w:p>
            <w:pPr>
              <w:pStyle w:val="Compact"/>
            </w:pPr>
            <w:r>
              <w:rPr>
                <w:b/>
                <w:color w:val="FFFFFF"/>
              </w:rPr>
              <w:t xml:space="preserve">Ref</w:t>
            </w:r>
          </w:p>
        </w:tc>
        <w:tc>
          <w:tcPr>
            <w:tcW w:type="dxa" w:w="3928"/>
            <w:shd w:val="clear" w:color="auto" w:fill="002F6D"/>
          </w:tcPr>
          <w:p>
            <w:pPr>
              <w:pStyle w:val="Compact"/>
            </w:pPr>
            <w:r>
              <w:rPr>
                <w:b/>
                <w:color w:val="FFFFFF"/>
              </w:rPr>
              <w:t xml:space="preserve">Question</w:t>
            </w:r>
          </w:p>
        </w:tc>
        <w:tc>
          <w:tcPr>
            <w:tcW w:type="dxa" w:w="1870"/>
            <w:shd w:val="clear" w:color="auto" w:fill="002F6D"/>
          </w:tcPr>
          <w:p>
            <w:pPr>
              <w:pStyle w:val="Compact"/>
            </w:pPr>
            <w:r>
              <w:rPr>
                <w:b/>
                <w:color w:val="FFFFFF"/>
              </w:rPr>
              <w:t xml:space="preserve">Look first</w:t>
            </w:r>
          </w:p>
        </w:tc>
        <w:tc>
          <w:tcPr>
            <w:tcW w:type="dxa" w:w="1309"/>
            <w:shd w:val="clear" w:color="auto" w:fill="002F6D"/>
          </w:tcPr>
          <w:p>
            <w:pPr>
              <w:pStyle w:val="Compact"/>
            </w:pPr>
            <w:r>
              <w:rPr>
                <w:b/>
                <w:color w:val="FFFFFF"/>
              </w:rPr>
              <w:t xml:space="preserve">Pack items</w:t>
            </w:r>
          </w:p>
        </w:tc>
        <w:tc>
          <w:tcPr>
            <w:tcW w:type="dxa" w:w="1496"/>
            <w:shd w:val="clear" w:color="auto" w:fill="002F6D"/>
          </w:tcPr>
          <w:p>
            <w:pPr>
              <w:pStyle w:val="Compact"/>
            </w:pPr>
            <w:r>
              <w:rPr>
                <w:b/>
                <w:color w:val="FFFFFF"/>
              </w:rPr>
              <w:t xml:space="preserve">Outcome</w:t>
            </w:r>
          </w:p>
        </w:tc>
      </w:tr>
      <w:tr>
        <w:trPr>
          <w:cantSplit/>
        </w:trPr>
        <w:tc>
          <w:tcPr>
            <w:tcW w:type="dxa" w:w="748"/>
          </w:tcPr>
          <w:p>
            <w:pPr>
              <w:pStyle w:val="Compact"/>
            </w:pPr>
            <w:r>
              <w:t xml:space="preserve">B5.1</w:t>
            </w:r>
          </w:p>
        </w:tc>
        <w:tc>
          <w:tcPr>
            <w:tcW w:type="dxa" w:w="3928"/>
          </w:tcPr>
          <w:p>
            <w:pPr>
              <w:pStyle w:val="Compact"/>
            </w:pPr>
            <w:r>
              <w:t xml:space="preserve">What does the council already know about the scheme from commissioning, housing options and licensing colleagues (paras 149 and 209)?</w:t>
            </w:r>
          </w:p>
        </w:tc>
        <w:tc>
          <w:tcPr>
            <w:tcW w:type="dxa" w:w="1870"/>
          </w:tcPr>
          <w:p>
            <w:pPr>
              <w:pStyle w:val="Compact"/>
            </w:pPr>
            <w:r>
              <w:t xml:space="preserve">Internal teams</w:t>
            </w:r>
          </w:p>
        </w:tc>
        <w:tc>
          <w:tcPr>
            <w:tcW w:type="dxa" w:w="1309"/>
          </w:tcPr>
          <w:p>
            <w:pPr>
              <w:pStyle w:val="Compact"/>
            </w:pPr>
            <w:r>
              <w:t xml:space="preserve">A5.1 to A5.3</w:t>
            </w:r>
          </w:p>
        </w:tc>
        <w:tc>
          <w:tcPr>
            <w:tcW w:type="dxa" w:w="1496"/>
          </w:tcPr>
          <w:p>
            <w:pPr>
              <w:pStyle w:val="Compact"/>
            </w:pPr>
          </w:p>
        </w:tc>
      </w:tr>
      <w:tr>
        <w:trPr>
          <w:cantSplit/>
        </w:trPr>
        <w:tc>
          <w:tcPr>
            <w:tcW w:type="dxa" w:w="748"/>
            <w:shd w:val="clear" w:color="auto" w:fill="E6ECF4"/>
          </w:tcPr>
          <w:p>
            <w:pPr>
              <w:pStyle w:val="Compact"/>
            </w:pPr>
            <w:r>
              <w:t xml:space="preserve">B5.2</w:t>
            </w:r>
          </w:p>
        </w:tc>
        <w:tc>
          <w:tcPr>
            <w:tcW w:type="dxa" w:w="3928"/>
            <w:shd w:val="clear" w:color="auto" w:fill="E6ECF4"/>
          </w:tcPr>
          <w:p>
            <w:pPr>
              <w:pStyle w:val="Compact"/>
            </w:pPr>
            <w:r>
              <w:t xml:space="preserve">Is a compliance schedule in place? Concerns go to private sector housing or environmental health, not into the entitlement decision (Chapter 22, 22.3)</w:t>
            </w:r>
          </w:p>
        </w:tc>
        <w:tc>
          <w:tcPr>
            <w:tcW w:type="dxa" w:w="1870"/>
            <w:shd w:val="clear" w:color="auto" w:fill="E6ECF4"/>
          </w:tcPr>
          <w:p>
            <w:pPr>
              <w:pStyle w:val="Compact"/>
            </w:pPr>
            <w:r>
              <w:t xml:space="preserve">Council's licensing and HMO records</w:t>
            </w:r>
          </w:p>
        </w:tc>
        <w:tc>
          <w:tcPr>
            <w:tcW w:type="dxa" w:w="1309"/>
            <w:shd w:val="clear" w:color="auto" w:fill="E6ECF4"/>
          </w:tcPr>
          <w:p>
            <w:pPr>
              <w:pStyle w:val="Compact"/>
            </w:pPr>
            <w:r>
              <w:t xml:space="preserve">A6.1</w:t>
            </w:r>
          </w:p>
        </w:tc>
        <w:tc>
          <w:tcPr>
            <w:tcW w:type="dxa" w:w="1496"/>
            <w:shd w:val="clear" w:color="auto" w:fill="E6ECF4"/>
          </w:tcPr>
          <w:p>
            <w:pPr>
              <w:pStyle w:val="Compact"/>
            </w:pPr>
          </w:p>
        </w:tc>
      </w:tr>
      <w:tr>
        <w:trPr>
          <w:cantSplit/>
        </w:trPr>
        <w:tc>
          <w:tcPr>
            <w:tcW w:type="dxa" w:w="748"/>
          </w:tcPr>
          <w:p>
            <w:pPr>
              <w:pStyle w:val="Compact"/>
            </w:pPr>
            <w:r>
              <w:t xml:space="preserve">B5.3</w:t>
            </w:r>
          </w:p>
        </w:tc>
        <w:tc>
          <w:tcPr>
            <w:tcW w:type="dxa" w:w="3928"/>
          </w:tcPr>
          <w:p>
            <w:pPr>
              <w:pStyle w:val="Compact"/>
            </w:pPr>
            <w:r>
              <w:t xml:space="preserve">When licensing is in force: is the scheme licensed or covered by a valid application (Chapter 13, 13.7)?</w:t>
            </w:r>
          </w:p>
        </w:tc>
        <w:tc>
          <w:tcPr>
            <w:tcW w:type="dxa" w:w="1870"/>
          </w:tcPr>
          <w:p>
            <w:pPr>
              <w:pStyle w:val="Compact"/>
            </w:pPr>
            <w:r>
              <w:t xml:space="preserve">Licensing register</w:t>
            </w:r>
          </w:p>
        </w:tc>
        <w:tc>
          <w:tcPr>
            <w:tcW w:type="dxa" w:w="1309"/>
          </w:tcPr>
          <w:p>
            <w:pPr>
              <w:pStyle w:val="Compact"/>
            </w:pPr>
            <w:r>
              <w:t xml:space="preserve">A6.2</w:t>
            </w:r>
          </w:p>
        </w:tc>
        <w:tc>
          <w:tcPr>
            <w:tcW w:type="dxa" w:w="1496"/>
          </w:tcPr>
          <w:p>
            <w:pPr>
              <w:pStyle w:val="Compact"/>
            </w:pPr>
          </w:p>
        </w:tc>
      </w:tr>
    </w:tbl>
    <w:p>
      <w:pPr>
        <w:pStyle w:val="BodyText"/>
      </w:pPr>
      <w:r>
        <w:rPr>
          <w:b/>
          <w:bCs/>
        </w:rPr>
        <w:t xml:space="preserve">What the council should not ask for.</w:t>
      </w:r>
      <w:r>
        <w:t xml:space="preserve"> </w:t>
      </w:r>
      <w:r>
        <w:t xml:space="preserve">None of the following is a legal requirement, and none should hold up a scheme file:</w:t>
      </w:r>
    </w:p>
    <w:p>
      <w:pPr>
        <w:pStyle w:val="Compact"/>
        <w:numPr>
          <w:ilvl w:val="0"/>
          <w:numId w:val="1003"/>
        </w:numPr>
      </w:pPr>
      <w:r>
        <w:t xml:space="preserve">proof that support is commissioned or funded from outside Housing Benefit</w:t>
      </w:r>
    </w:p>
    <w:p>
      <w:pPr>
        <w:pStyle w:val="Compact"/>
        <w:numPr>
          <w:ilvl w:val="0"/>
          <w:numId w:val="1003"/>
        </w:numPr>
      </w:pPr>
      <w:r>
        <w:t xml:space="preserve">a minimum number of support hours, or on-site staff</w:t>
      </w:r>
    </w:p>
    <w:p>
      <w:pPr>
        <w:pStyle w:val="Compact"/>
        <w:numPr>
          <w:ilvl w:val="0"/>
          <w:numId w:val="1003"/>
        </w:numPr>
      </w:pPr>
      <w:r>
        <w:t xml:space="preserve">a full copy of every lease where a schedule and a representative lease answer the question</w:t>
      </w:r>
    </w:p>
    <w:p>
      <w:pPr>
        <w:pStyle w:val="Compact"/>
        <w:numPr>
          <w:ilvl w:val="0"/>
          <w:numId w:val="1003"/>
        </w:numPr>
      </w:pPr>
      <w:r>
        <w:t xml:space="preserve">the full scheme pack again with each new claim, unless something has changed</w:t>
      </w:r>
    </w:p>
    <w:p>
      <w:pPr>
        <w:pStyle w:val="Compact"/>
        <w:numPr>
          <w:ilvl w:val="0"/>
          <w:numId w:val="1003"/>
        </w:numPr>
      </w:pPr>
      <w:r>
        <w:t xml:space="preserve">documents the council already holds or can find on a public register</w:t>
      </w:r>
    </w:p>
    <w:bookmarkEnd w:id="22"/>
    <w:bookmarkEnd w:id="23"/>
    <w:bookmarkStart w:id="24" w:name="part-c-scheme-file-record-sheet"/>
    <w:p>
      <w:pPr>
        <w:pStyle w:val="Heading2"/>
        <w:pageBreakBefore/>
        <w:pBdr>
          <w:bottom w:val="single" w:sz="12" w:space="4" w:color="FF9202"/>
        </w:pBdr>
      </w:pPr>
      <w:r>
        <w:t xml:space="preserve">Part C: Scheme file record sheet</w:t>
      </w:r>
    </w:p>
    <w:p>
      <w:pPr>
        <w:pStyle w:val="FirstParagraph"/>
      </w:pPr>
      <w:r>
        <w:t xml:space="preserve">The council completes this sheet and shares a copy with the provider, so that both hold the same record of what has been agreed.</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Scheme name and provider</w:t>
            </w:r>
          </w:p>
        </w:tc>
        <w:tc>
          <w:tcPr>
            <w:tcW w:type="dxa" w:w="5425"/>
          </w:tcPr>
          <w:p>
            <w:pPr>
              <w:pStyle w:val="Compact"/>
            </w:pPr>
          </w:p>
        </w:tc>
      </w:tr>
      <w:tr>
        <w:trPr>
          <w:cantSplit/>
        </w:trPr>
        <w:tc>
          <w:tcPr>
            <w:tcW w:type="dxa" w:w="3928"/>
            <w:shd w:val="clear" w:color="auto" w:fill="E6ECF4"/>
          </w:tcPr>
          <w:p>
            <w:pPr>
              <w:pStyle w:val="Compact"/>
            </w:pPr>
            <w:r>
              <w:t xml:space="preserve">Addresses and number of units</w:t>
            </w:r>
          </w:p>
        </w:tc>
        <w:tc>
          <w:tcPr>
            <w:tcW w:type="dxa" w:w="5425"/>
            <w:shd w:val="clear" w:color="auto" w:fill="E6ECF4"/>
          </w:tcPr>
          <w:p>
            <w:pPr>
              <w:pStyle w:val="Compact"/>
            </w:pPr>
          </w:p>
        </w:tc>
      </w:tr>
      <w:tr>
        <w:trPr>
          <w:cantSplit/>
        </w:trPr>
        <w:tc>
          <w:tcPr>
            <w:tcW w:type="dxa" w:w="3928"/>
          </w:tcPr>
          <w:p>
            <w:pPr>
              <w:pStyle w:val="Compact"/>
            </w:pPr>
            <w:r>
              <w:t xml:space="preserve">Client group</w:t>
            </w:r>
          </w:p>
        </w:tc>
        <w:tc>
          <w:tcPr>
            <w:tcW w:type="dxa" w:w="5425"/>
          </w:tcPr>
          <w:p>
            <w:pPr>
              <w:pStyle w:val="Compact"/>
            </w:pPr>
          </w:p>
        </w:tc>
      </w:tr>
      <w:tr>
        <w:trPr>
          <w:cantSplit/>
        </w:trPr>
        <w:tc>
          <w:tcPr>
            <w:tcW w:type="dxa" w:w="3928"/>
            <w:shd w:val="clear" w:color="auto" w:fill="E6ECF4"/>
          </w:tcPr>
          <w:p>
            <w:pPr>
              <w:pStyle w:val="Compact"/>
            </w:pPr>
            <w:r>
              <w:t xml:space="preserve">Provider contact</w:t>
            </w:r>
          </w:p>
        </w:tc>
        <w:tc>
          <w:tcPr>
            <w:tcW w:type="dxa" w:w="5425"/>
            <w:shd w:val="clear" w:color="auto" w:fill="E6ECF4"/>
          </w:tcPr>
          <w:p>
            <w:pPr>
              <w:pStyle w:val="Compact"/>
            </w:pPr>
          </w:p>
        </w:tc>
      </w:tr>
      <w:tr>
        <w:trPr>
          <w:cantSplit/>
        </w:trPr>
        <w:tc>
          <w:tcPr>
            <w:tcW w:type="dxa" w:w="3928"/>
          </w:tcPr>
          <w:p>
            <w:pPr>
              <w:pStyle w:val="Compact"/>
            </w:pPr>
            <w:r>
              <w:t xml:space="preserve">Council named officer</w:t>
            </w:r>
          </w:p>
        </w:tc>
        <w:tc>
          <w:tcPr>
            <w:tcW w:type="dxa" w:w="5425"/>
          </w:tcPr>
          <w:p>
            <w:pPr>
              <w:pStyle w:val="Compact"/>
            </w:pPr>
          </w:p>
        </w:tc>
      </w:tr>
      <w:tr>
        <w:trPr>
          <w:cantSplit/>
        </w:trPr>
        <w:tc>
          <w:tcPr>
            <w:tcW w:type="dxa" w:w="3928"/>
            <w:shd w:val="clear" w:color="auto" w:fill="E6ECF4"/>
          </w:tcPr>
          <w:p>
            <w:pPr>
              <w:pStyle w:val="Compact"/>
            </w:pPr>
            <w:r>
              <w:t xml:space="preserve">Date pack received</w:t>
            </w:r>
          </w:p>
        </w:tc>
        <w:tc>
          <w:tcPr>
            <w:tcW w:type="dxa" w:w="5425"/>
            <w:shd w:val="clear" w:color="auto" w:fill="E6ECF4"/>
          </w:tcPr>
          <w:p>
            <w:pPr>
              <w:pStyle w:val="Compact"/>
            </w:pPr>
          </w:p>
        </w:tc>
      </w:tr>
      <w:tr>
        <w:trPr>
          <w:cantSplit/>
        </w:trPr>
        <w:tc>
          <w:tcPr>
            <w:tcW w:type="dxa" w:w="3928"/>
          </w:tcPr>
          <w:p>
            <w:pPr>
              <w:pStyle w:val="Compact"/>
            </w:pPr>
            <w:r>
              <w:t xml:space="preserve">Items outstanding (Part A numbers)</w:t>
            </w:r>
          </w:p>
        </w:tc>
        <w:tc>
          <w:tcPr>
            <w:tcW w:type="dxa" w:w="5425"/>
          </w:tcPr>
          <w:p>
            <w:pPr>
              <w:pStyle w:val="Compact"/>
            </w:pPr>
          </w:p>
        </w:tc>
      </w:tr>
      <w:tr>
        <w:trPr>
          <w:cantSplit/>
        </w:trPr>
        <w:tc>
          <w:tcPr>
            <w:tcW w:type="dxa" w:w="3928"/>
            <w:shd w:val="clear" w:color="auto" w:fill="E6ECF4"/>
          </w:tcPr>
          <w:p>
            <w:pPr>
              <w:pStyle w:val="Compact"/>
            </w:pPr>
            <w:r>
              <w:t xml:space="preserve">Queries raised (Part B references) and date</w:t>
            </w:r>
          </w:p>
        </w:tc>
        <w:tc>
          <w:tcPr>
            <w:tcW w:type="dxa" w:w="5425"/>
            <w:shd w:val="clear" w:color="auto" w:fill="E6ECF4"/>
          </w:tcPr>
          <w:p>
            <w:pPr>
              <w:pStyle w:val="Compact"/>
            </w:pPr>
          </w:p>
        </w:tc>
      </w:tr>
      <w:tr>
        <w:trPr>
          <w:cantSplit/>
        </w:trPr>
        <w:tc>
          <w:tcPr>
            <w:tcW w:type="dxa" w:w="3928"/>
          </w:tcPr>
          <w:p>
            <w:pPr>
              <w:pStyle w:val="Compact"/>
            </w:pPr>
            <w:r>
              <w:t xml:space="preserve">Date scheme file accepted</w:t>
            </w:r>
          </w:p>
        </w:tc>
        <w:tc>
          <w:tcPr>
            <w:tcW w:type="dxa" w:w="5425"/>
          </w:tcPr>
          <w:p>
            <w:pPr>
              <w:pStyle w:val="Compact"/>
            </w:pPr>
          </w:p>
        </w:tc>
      </w:tr>
      <w:tr>
        <w:trPr>
          <w:cantSplit/>
        </w:trPr>
        <w:tc>
          <w:tcPr>
            <w:tcW w:type="dxa" w:w="3928"/>
            <w:shd w:val="clear" w:color="auto" w:fill="E6ECF4"/>
          </w:tcPr>
          <w:p>
            <w:pPr>
              <w:pStyle w:val="Compact"/>
            </w:pPr>
            <w:r>
              <w:t xml:space="preserve">Agreed position: landlord status, care, support or supervision, eligible charges, rent</w:t>
            </w:r>
          </w:p>
        </w:tc>
        <w:tc>
          <w:tcPr>
            <w:tcW w:type="dxa" w:w="5425"/>
            <w:shd w:val="clear" w:color="auto" w:fill="E6ECF4"/>
          </w:tcPr>
          <w:p>
            <w:pPr>
              <w:pStyle w:val="Compact"/>
            </w:pPr>
          </w:p>
        </w:tc>
      </w:tr>
      <w:tr>
        <w:trPr>
          <w:cantSplit/>
        </w:trPr>
        <w:tc>
          <w:tcPr>
            <w:tcW w:type="dxa" w:w="3928"/>
          </w:tcPr>
          <w:p>
            <w:pPr>
              <w:pStyle w:val="Compact"/>
            </w:pPr>
            <w:r>
              <w:t xml:space="preserve">Commercially sensitive items and who may see them</w:t>
            </w:r>
          </w:p>
        </w:tc>
        <w:tc>
          <w:tcPr>
            <w:tcW w:type="dxa" w:w="5425"/>
          </w:tcPr>
          <w:p>
            <w:pPr>
              <w:pStyle w:val="Compact"/>
            </w:pPr>
          </w:p>
        </w:tc>
      </w:tr>
      <w:tr>
        <w:trPr>
          <w:cantSplit/>
        </w:trPr>
        <w:tc>
          <w:tcPr>
            <w:tcW w:type="dxa" w:w="3928"/>
            <w:shd w:val="clear" w:color="auto" w:fill="E6ECF4"/>
          </w:tcPr>
          <w:p>
            <w:pPr>
              <w:pStyle w:val="Compact"/>
            </w:pPr>
            <w:r>
              <w:t xml:space="preserve">Next review date, or trigger (rent increase, new property, change of model)</w:t>
            </w:r>
          </w:p>
        </w:tc>
        <w:tc>
          <w:tcPr>
            <w:tcW w:type="dxa" w:w="5425"/>
            <w:shd w:val="clear" w:color="auto" w:fill="E6ECF4"/>
          </w:tcPr>
          <w:p>
            <w:pPr>
              <w:pStyle w:val="Compact"/>
            </w:pPr>
          </w:p>
        </w:tc>
      </w:tr>
    </w:tbl>
    <w:p>
      <w:pPr>
        <w:pStyle w:val="BodyText"/>
      </w:pPr>
      <w:r>
        <w:rPr>
          <w:b/>
          <w:bCs/>
        </w:rPr>
        <w:t xml:space="preserve">Recording the agreed position.</w:t>
      </w:r>
      <w:r>
        <w:t xml:space="preserve"> </w:t>
      </w:r>
      <w:r>
        <w:t xml:space="preserve">Once the scheme file is accepted, later claims at the scheme start from the agreed position. The council can still depart from it on new evidence, but should say what has changed (Chapter 19).</w:t>
      </w:r>
    </w:p>
    <w:bookmarkEnd w:id="24"/>
    <w:bookmarkEnd w:id="25"/>
    <w:sectPr>
      <w:headerReference w:type="default" r:id="rId12"/>
      <w:footerReference w:type="default" r:id="rId13"/>
      <w:footerReference w:type="first" r:id="rId14"/>
      <w:footnotePr>
        <w:numRestart w:val="eachSect"/>
      </w:footnotePr>
      <w:pgSz w:w="11906" w:h="16838"/>
      <w:pgMar w:left="1304" w:right="1304" w:top="1417" w:bottom="1134" w:header="567" w:footer="510" w:gutter="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49" w:val="left"/>
        <w:tab w:pos="9298" w:val="right"/>
      </w:tabs>
    </w:pPr>
    <w:r>
      <w:drawing>
        <wp:inline xmlns:a="http://schemas.openxmlformats.org/drawingml/2006/main" xmlns:pic="http://schemas.openxmlformats.org/drawingml/2006/picture">
          <wp:extent cx="913500" cy="288000"/>
          <wp:docPr id="1" name="Picture 1"/>
          <wp:cNvGraphicFramePr>
            <a:graphicFrameLocks noChangeAspect="1"/>
          </wp:cNvGraphicFramePr>
          <a:graphic>
            <a:graphicData uri="http://schemas.openxmlformats.org/drawingml/2006/picture">
              <pic:pic>
                <pic:nvPicPr>
                  <pic:cNvPr id="0" name="shp_logo.png"/>
                  <pic:cNvPicPr/>
                </pic:nvPicPr>
                <pic:blipFill>
                  <a:blip r:embed="rId1"/>
                  <a:stretch>
                    <a:fillRect/>
                  </a:stretch>
                </pic:blipFill>
                <pic:spPr>
                  <a:xfrm>
                    <a:off x="0" y="0"/>
                    <a:ext cx="913500" cy="288000"/>
                  </a:xfrm>
                  <a:prstGeom prst="rect"/>
                </pic:spPr>
              </pic:pic>
            </a:graphicData>
          </a:graphic>
        </wp:inline>
      </w:drawing>
    </w:r>
    <w:r>
      <w:tab/>
      <w:tab/>
    </w:r>
    <w:r>
      <w:rPr>
        <w:color w:val="5B6470"/>
        <w:sz w:val="17"/>
      </w:rPr>
      <w:t>HB Good Practice Manual | Appendix 4 Template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hAnsi="Calibri" w:eastAsia="Calibri" w:cs="Calibri"/>
      <w:color w:val="1F242B"/>
      <w:sz w:val="21"/>
    </w:rPr>
  </w:style>
  <w:style w:styleId="BodyText" w:type="paragraph">
    <w:name w:val="Body Text"/>
    <w:basedOn w:val="Normal"/>
    <w:link w:val="BodyTextChar"/>
    <w:qFormat/>
    <w:pPr>
      <w:spacing w:after="100" w:before="180" w:line="269" w:lineRule="auto"/>
    </w:pPr>
    <w:rPr>
      <w:rFonts w:ascii="Calibri" w:hAnsi="Calibri" w:eastAsia="Calibri" w:cs="Calibri"/>
      <w:color w:val="1F242B"/>
      <w:sz w:val="21"/>
    </w:rPr>
  </w:style>
  <w:style w:customStyle="1" w:styleId="FirstParagraph" w:type="paragraph">
    <w:name w:val="First Paragraph"/>
    <w:basedOn w:val="BodyText"/>
    <w:next w:val="BodyText"/>
    <w:qFormat/>
    <w:pPr>
      <w:spacing w:after="100" w:line="269" w:lineRule="auto"/>
    </w:pPr>
    <w:rPr>
      <w:rFonts w:ascii="Calibri" w:hAnsi="Calibri" w:eastAsia="Calibri" w:cs="Calibri"/>
      <w:color w:val="1F242B"/>
      <w:sz w:val="21"/>
    </w:rPr>
  </w:style>
  <w:style w:customStyle="1" w:styleId="Compact" w:type="paragraph">
    <w:name w:val="Compact"/>
    <w:basedOn w:val="BodyText"/>
    <w:qFormat/>
    <w:pPr>
      <w:spacing w:after="100" w:before="36" w:line="269" w:lineRule="auto"/>
    </w:pPr>
    <w:rPr>
      <w:rFonts w:ascii="Calibri" w:hAnsi="Calibri" w:eastAsia="Calibri" w:cs="Calibri"/>
      <w:color w:val="1F242B"/>
      <w:sz w:val="21"/>
    </w:rPr>
  </w:style>
  <w:style w:styleId="Title" w:type="paragraph">
    <w:name w:val="Title"/>
    <w:basedOn w:val="Normal"/>
    <w:next w:val="BodyText"/>
    <w:link w:val="TitleChar"/>
    <w:uiPriority w:val="10"/>
    <w:qFormat/>
    <w:rsid w:val="00A10FD9"/>
    <w:pPr>
      <w:keepNext/>
      <w:spacing w:after="80" w:line="240" w:lineRule="auto" w:before="180"/>
      <w:contextualSpacing/>
      <w:jc w:val="center"/>
    </w:pPr>
    <w:rPr>
      <w:rFonts w:ascii="Calibri" w:hAnsi="Calibri" w:eastAsia="Calibri" w:cs="Calibri"/>
      <w:b/>
      <w:i w:val="0"/>
      <w:color w:val="002F6D"/>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180"/>
      <w:outlineLvl w:val="0"/>
    </w:pPr>
    <w:rPr>
      <w:rFonts w:ascii="Calibri" w:hAnsi="Calibri" w:eastAsia="Calibri" w:cs="Calibri"/>
      <w:b/>
      <w:i w:val="0"/>
      <w:color w:val="002F6D"/>
      <w:sz w:val="44"/>
      <w:szCs w:val="40"/>
    </w:rPr>
  </w:style>
  <w:style w:styleId="Heading2" w:type="paragraph">
    <w:name w:val="heading 2"/>
    <w:basedOn w:val="Normal"/>
    <w:next w:val="BodyText"/>
    <w:link w:val="Heading2Char"/>
    <w:uiPriority w:val="9"/>
    <w:semiHidden/>
    <w:unhideWhenUsed/>
    <w:qFormat/>
    <w:rsid w:val="00A10FD9"/>
    <w:pPr>
      <w:keepNext/>
      <w:keepLines/>
      <w:spacing w:after="80" w:before="280"/>
      <w:outlineLvl w:val="1"/>
    </w:pPr>
    <w:rPr>
      <w:rFonts w:ascii="Calibri" w:hAnsi="Calibri" w:eastAsia="Calibri" w:cs="Calibri"/>
      <w:b/>
      <w:i w:val="0"/>
      <w:color w:val="002F6D"/>
      <w:sz w:val="34"/>
      <w:szCs w:val="32"/>
    </w:rPr>
  </w:style>
  <w:style w:styleId="Heading3" w:type="paragraph">
    <w:name w:val="heading 3"/>
    <w:basedOn w:val="Normal"/>
    <w:next w:val="BodyText"/>
    <w:link w:val="Heading3Char"/>
    <w:uiPriority w:val="9"/>
    <w:semiHidden/>
    <w:unhideWhenUsed/>
    <w:qFormat/>
    <w:rsid w:val="00A10FD9"/>
    <w:pPr>
      <w:keepNext/>
      <w:keepLines/>
      <w:spacing w:after="80" w:before="280"/>
      <w:outlineLvl w:val="2"/>
    </w:pPr>
    <w:rPr>
      <w:rFonts w:ascii="Calibri" w:hAnsi="Calibri" w:eastAsia="Calibri" w:cs="Calibri"/>
      <w:b/>
      <w:i w:val="0"/>
      <w:color w:val="002F6D"/>
      <w:sz w:val="28"/>
      <w:szCs w:val="28"/>
    </w:rPr>
  </w:style>
  <w:style w:styleId="Heading4" w:type="paragraph">
    <w:name w:val="heading 4"/>
    <w:basedOn w:val="Normal"/>
    <w:next w:val="BodyText"/>
    <w:link w:val="Heading4Char"/>
    <w:uiPriority w:val="9"/>
    <w:semiHidden/>
    <w:unhideWhenUsed/>
    <w:qFormat/>
    <w:rsid w:val="00A10FD9"/>
    <w:pPr>
      <w:keepNext/>
      <w:keepLines/>
      <w:spacing w:after="80" w:before="180"/>
      <w:outlineLvl w:val="3"/>
    </w:pPr>
    <w:rPr>
      <w:rFonts w:ascii="Calibri" w:hAnsi="Calibri" w:eastAsia="Calibri" w:cs="Calibri"/>
      <w:b/>
      <w:i w:val="0"/>
      <w:iCs/>
      <w:color w:val="FF9202"/>
      <w:sz w:val="24"/>
    </w:rPr>
  </w:style>
  <w:style w:styleId="Heading5" w:type="paragraph">
    <w:name w:val="heading 5"/>
    <w:basedOn w:val="Normal"/>
    <w:next w:val="BodyText"/>
    <w:link w:val="Heading5Char"/>
    <w:uiPriority w:val="9"/>
    <w:semiHidden/>
    <w:unhideWhenUsed/>
    <w:qFormat/>
    <w:rsid w:val="00A10FD9"/>
    <w:pPr>
      <w:keepNext/>
      <w:keepLines/>
      <w:spacing w:after="80" w:before="180"/>
      <w:outlineLvl w:val="4"/>
    </w:pPr>
    <w:rPr>
      <w:rFonts w:ascii="Calibri" w:hAnsi="Calibri" w:eastAsia="Calibri" w:cs="Calibri"/>
      <w:b/>
      <w:i w:val="0"/>
      <w:color w:val="002F6D"/>
      <w:sz w:val="22"/>
    </w:rPr>
  </w:style>
  <w:style w:styleId="Heading6" w:type="paragraph">
    <w:name w:val="heading 6"/>
    <w:basedOn w:val="Normal"/>
    <w:next w:val="BodyText"/>
    <w:link w:val="Heading6Char"/>
    <w:uiPriority w:val="9"/>
    <w:semiHidden/>
    <w:unhideWhenUsed/>
    <w:qFormat/>
    <w:rsid w:val="00A10FD9"/>
    <w:pPr>
      <w:keepNext/>
      <w:keepLines/>
      <w:spacing w:after="80" w:before="180"/>
      <w:outlineLvl w:val="5"/>
    </w:pPr>
    <w:rPr>
      <w:rFonts w:ascii="Calibri" w:hAnsi="Calibri" w:eastAsia="Calibri" w:cs="Calibri"/>
      <w:b/>
      <w:i w:val="0"/>
      <w:iCs/>
      <w:color w:val="002F6D"/>
      <w:sz w:val="21"/>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Calibri" w:hAnsi="Calibri" w:eastAsia="Calibri" w:cs="Calibri"/>
      <w:color w:val="002F6D"/>
      <w:sz w:val="21"/>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2026-10-13T15:41:06Z</dcterms:created>
  <dcterms:modified xsi:type="dcterms:W3CDTF">2026-10-13T15:41:06Z</dcterms:modified>
</cp:coreProperties>
</file>

<file path=docProps/custom.xml><?xml version="1.0" encoding="utf-8"?>
<Properties xmlns="http://schemas.openxmlformats.org/officeDocument/2006/custom-properties" xmlns:vt="http://schemas.openxmlformats.org/officeDocument/2006/docPropsVTypes"/>
</file>