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b9bf0bad2408d205d5265ceeff10a7fc6032d"/>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6: Model Needs Assessment and Support Plan</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6,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is a model form for assessing a tenant's needs and planning the care, support or supervision they will receive. It puts Chapter 14 (14.2 and 14.3) and Chapter 15 into practice. It has four parts:</w:t>
      </w:r>
    </w:p>
    <w:p>
      <w:pPr>
        <w:pStyle w:val="Compact"/>
        <w:numPr>
          <w:ilvl w:val="0"/>
          <w:numId w:val="1001"/>
        </w:numPr>
      </w:pPr>
      <w:r>
        <w:rPr>
          <w:b/>
          <w:bCs/>
        </w:rPr>
        <w:t xml:space="preserve">Part A:</w:t>
      </w:r>
      <w:r>
        <w:t xml:space="preserve"> </w:t>
      </w:r>
      <w:r>
        <w:t xml:space="preserve">needs assessment</w:t>
      </w:r>
    </w:p>
    <w:p>
      <w:pPr>
        <w:pStyle w:val="Compact"/>
        <w:numPr>
          <w:ilvl w:val="0"/>
          <w:numId w:val="1001"/>
        </w:numPr>
      </w:pPr>
      <w:r>
        <w:rPr>
          <w:b/>
          <w:bCs/>
        </w:rPr>
        <w:t xml:space="preserve">Part B:</w:t>
      </w:r>
      <w:r>
        <w:t xml:space="preserve"> </w:t>
      </w:r>
      <w:r>
        <w:t xml:space="preserve">support plan, including supervision, move-on and reviews</w:t>
      </w:r>
    </w:p>
    <w:p>
      <w:pPr>
        <w:pStyle w:val="Compact"/>
        <w:numPr>
          <w:ilvl w:val="0"/>
          <w:numId w:val="1001"/>
        </w:numPr>
      </w:pPr>
      <w:r>
        <w:rPr>
          <w:b/>
          <w:bCs/>
        </w:rPr>
        <w:t xml:space="preserve">Part C:</w:t>
      </w:r>
      <w:r>
        <w:t xml:space="preserve"> </w:t>
      </w:r>
      <w:r>
        <w:t xml:space="preserve">notes on completing the form</w:t>
      </w:r>
    </w:p>
    <w:p>
      <w:pPr>
        <w:pStyle w:val="Compact"/>
        <w:numPr>
          <w:ilvl w:val="0"/>
          <w:numId w:val="1001"/>
        </w:numPr>
      </w:pPr>
      <w:r>
        <w:rPr>
          <w:b/>
          <w:bCs/>
        </w:rPr>
        <w:t xml:space="preserve">Part D:</w:t>
      </w:r>
      <w:r>
        <w:t xml:space="preserve"> </w:t>
      </w:r>
      <w:r>
        <w:t xml:space="preserve">a worked example</w:t>
      </w:r>
    </w:p>
    <w:p>
      <w:pPr>
        <w:pStyle w:val="FirstParagraph"/>
      </w:pPr>
      <w:r>
        <w:rPr>
          <w:b/>
          <w:bCs/>
        </w:rPr>
        <w:t xml:space="preserve">Status of the model.</w:t>
      </w:r>
      <w:r>
        <w:t xml:space="preserve"> </w:t>
      </w:r>
      <w:r>
        <w:t xml:space="preserve">No particular form is required by law. A provider's own assessment and plan, completed by trained staff using a structured form, is suitable for Housing Benefit purposes (Chapter 14, 14.2). Providers can adopt this model, adapt it, or check their own forms against it. Councils should accept any form that answers the same questions.</w:t>
      </w:r>
    </w:p>
    <w:p>
      <w:pPr>
        <w:pStyle w:val="BodyText"/>
      </w:pPr>
      <w:r>
        <w:rPr>
          <w:b/>
          <w:bCs/>
        </w:rPr>
        <w:t xml:space="preserve">Why it is designed this way.</w:t>
      </w:r>
      <w:r>
        <w:t xml:space="preserve"> </w:t>
      </w:r>
      <w:r>
        <w:t xml:space="preserve">The form follows the questions the case law asks (Chapter 15, 15.1): what the tenant needs, what is provided and by whom, how often, how it differs from ordinary housing management, and whether it is likely to make a real difference to the tenant's ability to live in the accommodation (</w:t>
      </w:r>
      <w:r>
        <w:rPr>
          <w:i/>
          <w:iCs/>
        </w:rPr>
        <w:t xml:space="preserve">MMcF v Sefton BC</w:t>
      </w:r>
      <w:r>
        <w:t xml:space="preserve"> </w:t>
      </w:r>
      <w:r>
        <w:t xml:space="preserve">[2016] UKUT 403 (AAC), paras 14 and 15). It also separates eligible housing-related support and supervision from ineligible care and personal support, so the same document supports both the exempt accommodation decision and the service charge decision (Chapter 9).</w:t>
      </w:r>
    </w:p>
    <w:p>
      <w:pPr>
        <w:pStyle w:val="BodyText"/>
      </w:pPr>
      <w:r>
        <w:rPr>
          <w:b/>
          <w:bCs/>
        </w:rPr>
        <w:t xml:space="preserve">National Supported Housing Standards.</w:t>
      </w:r>
      <w:r>
        <w:t xml:space="preserve"> </w:t>
      </w:r>
      <w:r>
        <w:t xml:space="preserve">The government has confirmed that the person-centred standard will require an individual needs assessment and a tailored support or supervision plan with agreed outcomes for each resident (Chapter 13, 13.4). This model is designed to meet that requirement. [Placeholder: check against the final standards when published.]</w:t>
      </w:r>
    </w:p>
    <w:bookmarkStart w:id="15" w:name="part-a-needs-assessment"/>
    <w:p>
      <w:pPr>
        <w:pStyle w:val="Heading2"/>
        <w:pBdr>
          <w:bottom w:val="single" w:sz="12" w:space="4" w:color="FF9202"/>
        </w:pBdr>
      </w:pPr>
      <w:r>
        <w:t xml:space="preserve">Part A: Needs assessment</w:t>
      </w:r>
    </w:p>
    <w:p>
      <w:pPr>
        <w:pStyle w:val="FirstParagraph"/>
      </w:pPr>
      <w:r>
        <w:t xml:space="preserve">Complete at or before move-in. In an emergency, complete a short initial assessment within the first few days and the full assessment as soon as practicable.</w:t>
      </w:r>
    </w:p>
    <w:bookmarkStart w:id="11" w:name="a1-the-tenant-and-the-referral"/>
    <w:p>
      <w:pPr>
        <w:pStyle w:val="Heading3"/>
      </w:pPr>
      <w:r>
        <w:t xml:space="preserve">A1. The tenant and the referral</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Tenant name and date of birth</w:t>
            </w:r>
          </w:p>
        </w:tc>
        <w:tc>
          <w:tcPr>
            <w:tcW w:type="dxa" w:w="5425"/>
          </w:tcPr>
          <w:p>
            <w:pPr>
              <w:pStyle w:val="Compact"/>
            </w:pPr>
          </w:p>
        </w:tc>
      </w:tr>
      <w:tr>
        <w:trPr>
          <w:cantSplit/>
        </w:trPr>
        <w:tc>
          <w:tcPr>
            <w:tcW w:type="dxa" w:w="3928"/>
            <w:shd w:val="clear" w:color="auto" w:fill="E6ECF4"/>
          </w:tcPr>
          <w:p>
            <w:pPr>
              <w:pStyle w:val="Compact"/>
            </w:pPr>
            <w:r>
              <w:t xml:space="preserve">Scheme, address and move-in date</w:t>
            </w:r>
          </w:p>
        </w:tc>
        <w:tc>
          <w:tcPr>
            <w:tcW w:type="dxa" w:w="5425"/>
            <w:shd w:val="clear" w:color="auto" w:fill="E6ECF4"/>
          </w:tcPr>
          <w:p>
            <w:pPr>
              <w:pStyle w:val="Compact"/>
            </w:pPr>
          </w:p>
        </w:tc>
      </w:tr>
      <w:tr>
        <w:trPr>
          <w:cantSplit/>
        </w:trPr>
        <w:tc>
          <w:tcPr>
            <w:tcW w:type="dxa" w:w="3928"/>
          </w:tcPr>
          <w:p>
            <w:pPr>
              <w:pStyle w:val="Compact"/>
            </w:pPr>
            <w:r>
              <w:t xml:space="preserve">Referral route and referrer (name, organisation, date)</w:t>
            </w:r>
          </w:p>
        </w:tc>
        <w:tc>
          <w:tcPr>
            <w:tcW w:type="dxa" w:w="5425"/>
          </w:tcPr>
          <w:p>
            <w:pPr>
              <w:pStyle w:val="Compact"/>
            </w:pPr>
          </w:p>
        </w:tc>
      </w:tr>
      <w:tr>
        <w:trPr>
          <w:cantSplit/>
        </w:trPr>
        <w:tc>
          <w:tcPr>
            <w:tcW w:type="dxa" w:w="3928"/>
            <w:shd w:val="clear" w:color="auto" w:fill="E6ECF4"/>
          </w:tcPr>
          <w:p>
            <w:pPr>
              <w:pStyle w:val="Compact"/>
            </w:pPr>
            <w:r>
              <w:t xml:space="preserve">Self-referral: emergency or "hard to reach" reason, and date notified under the council-approved referrals framework</w:t>
            </w:r>
          </w:p>
        </w:tc>
        <w:tc>
          <w:tcPr>
            <w:tcW w:type="dxa" w:w="5425"/>
            <w:shd w:val="clear" w:color="auto" w:fill="E6ECF4"/>
          </w:tcPr>
          <w:p>
            <w:pPr>
              <w:pStyle w:val="Compact"/>
            </w:pPr>
          </w:p>
        </w:tc>
      </w:tr>
      <w:tr>
        <w:trPr>
          <w:cantSplit/>
        </w:trPr>
        <w:tc>
          <w:tcPr>
            <w:tcW w:type="dxa" w:w="3928"/>
          </w:tcPr>
          <w:p>
            <w:pPr>
              <w:pStyle w:val="Compact"/>
            </w:pPr>
            <w:r>
              <w:t xml:space="preserve">Other agencies involved, with contact details</w:t>
            </w:r>
          </w:p>
        </w:tc>
        <w:tc>
          <w:tcPr>
            <w:tcW w:type="dxa" w:w="5425"/>
          </w:tcPr>
          <w:p>
            <w:pPr>
              <w:pStyle w:val="Compact"/>
            </w:pPr>
          </w:p>
        </w:tc>
      </w:tr>
      <w:tr>
        <w:trPr>
          <w:cantSplit/>
        </w:trPr>
        <w:tc>
          <w:tcPr>
            <w:tcW w:type="dxa" w:w="3928"/>
            <w:shd w:val="clear" w:color="auto" w:fill="E6ECF4"/>
          </w:tcPr>
          <w:p>
            <w:pPr>
              <w:pStyle w:val="Compact"/>
            </w:pPr>
            <w:r>
              <w:t xml:space="preserve">Tenant's consent to share information, and with whom</w:t>
            </w:r>
          </w:p>
        </w:tc>
        <w:tc>
          <w:tcPr>
            <w:tcW w:type="dxa" w:w="5425"/>
            <w:shd w:val="clear" w:color="auto" w:fill="E6ECF4"/>
          </w:tcPr>
          <w:p>
            <w:pPr>
              <w:pStyle w:val="Compact"/>
            </w:pPr>
          </w:p>
        </w:tc>
      </w:tr>
    </w:tbl>
    <w:bookmarkEnd w:id="11"/>
    <w:bookmarkStart w:id="12" w:name="a2-needs-and-risks"/>
    <w:p>
      <w:pPr>
        <w:pStyle w:val="Heading3"/>
      </w:pPr>
      <w:r>
        <w:t xml:space="preserve">A2. Needs and risks</w:t>
      </w:r>
    </w:p>
    <w:p>
      <w:pPr>
        <w:pStyle w:val="FirstParagraph"/>
      </w:pPr>
      <w:r>
        <w:t xml:space="preserve">Record what is known in plain terms, specific to the tenant. Leave an area blank if there is no need. The third column is the most important: it links the need to living in the accommodation and keeping the tenancy.</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244"/>
        <w:gridCol w:w="2525"/>
        <w:gridCol w:w="3086"/>
        <w:gridCol w:w="1496"/>
      </w:tblGrid>
      <w:tr>
        <w:trPr>
          <w:tblHeader w:val="on"/>
          <w:cantSplit/>
          <w:tblHeader w:val="true"/>
        </w:trPr>
        <w:tc>
          <w:tcPr>
            <w:tcW w:type="dxa" w:w="2244"/>
            <w:shd w:val="clear" w:color="auto" w:fill="002F6D"/>
          </w:tcPr>
          <w:p>
            <w:pPr>
              <w:pStyle w:val="Compact"/>
            </w:pPr>
            <w:r>
              <w:rPr>
                <w:b/>
                <w:color w:val="FFFFFF"/>
              </w:rPr>
              <w:t xml:space="preserve">Area</w:t>
            </w:r>
          </w:p>
        </w:tc>
        <w:tc>
          <w:tcPr>
            <w:tcW w:type="dxa" w:w="2525"/>
            <w:shd w:val="clear" w:color="auto" w:fill="002F6D"/>
          </w:tcPr>
          <w:p>
            <w:pPr>
              <w:pStyle w:val="Compact"/>
            </w:pPr>
            <w:r>
              <w:rPr>
                <w:b/>
                <w:color w:val="FFFFFF"/>
              </w:rPr>
              <w:t xml:space="preserve">Need or risk identified</w:t>
            </w:r>
          </w:p>
        </w:tc>
        <w:tc>
          <w:tcPr>
            <w:tcW w:type="dxa" w:w="3086"/>
            <w:shd w:val="clear" w:color="auto" w:fill="002F6D"/>
          </w:tcPr>
          <w:p>
            <w:pPr>
              <w:pStyle w:val="Compact"/>
            </w:pPr>
            <w:r>
              <w:rPr>
                <w:b/>
                <w:color w:val="FFFFFF"/>
              </w:rPr>
              <w:t xml:space="preserve">Effect on living in the accommodation and keeping the tenancy</w:t>
            </w:r>
          </w:p>
        </w:tc>
        <w:tc>
          <w:tcPr>
            <w:tcW w:type="dxa" w:w="1496"/>
            <w:shd w:val="clear" w:color="auto" w:fill="002F6D"/>
          </w:tcPr>
          <w:p>
            <w:pPr>
              <w:pStyle w:val="Compact"/>
            </w:pPr>
            <w:r>
              <w:rPr>
                <w:b/>
                <w:color w:val="FFFFFF"/>
              </w:rPr>
              <w:t xml:space="preserve">Source</w:t>
            </w:r>
          </w:p>
        </w:tc>
      </w:tr>
      <w:tr>
        <w:trPr>
          <w:cantSplit/>
        </w:trPr>
        <w:tc>
          <w:tcPr>
            <w:tcW w:type="dxa" w:w="2244"/>
          </w:tcPr>
          <w:p>
            <w:pPr>
              <w:pStyle w:val="Compact"/>
            </w:pPr>
            <w:r>
              <w:t xml:space="preserve">Managing the tenancy: rent, rules, neighbours</w:t>
            </w:r>
          </w:p>
        </w:tc>
        <w:tc>
          <w:tcPr>
            <w:tcW w:type="dxa" w:w="2525"/>
          </w:tcPr>
          <w:p>
            <w:pPr>
              <w:pStyle w:val="Compact"/>
            </w:pPr>
          </w:p>
        </w:tc>
        <w:tc>
          <w:tcPr>
            <w:tcW w:type="dxa" w:w="3086"/>
          </w:tcPr>
          <w:p>
            <w:pPr>
              <w:pStyle w:val="Compact"/>
            </w:pPr>
          </w:p>
        </w:tc>
        <w:tc>
          <w:tcPr>
            <w:tcW w:type="dxa" w:w="1496"/>
          </w:tcPr>
          <w:p>
            <w:pPr>
              <w:pStyle w:val="Compact"/>
            </w:pPr>
          </w:p>
        </w:tc>
      </w:tr>
      <w:tr>
        <w:trPr>
          <w:cantSplit/>
        </w:trPr>
        <w:tc>
          <w:tcPr>
            <w:tcW w:type="dxa" w:w="2244"/>
            <w:shd w:val="clear" w:color="auto" w:fill="E6ECF4"/>
          </w:tcPr>
          <w:p>
            <w:pPr>
              <w:pStyle w:val="Compact"/>
            </w:pPr>
            <w:r>
              <w:t xml:space="preserve">Looking after the home: damage, neglect, repairs</w:t>
            </w:r>
          </w:p>
        </w:tc>
        <w:tc>
          <w:tcPr>
            <w:tcW w:type="dxa" w:w="2525"/>
            <w:shd w:val="clear" w:color="auto" w:fill="E6ECF4"/>
          </w:tcPr>
          <w:p>
            <w:pPr>
              <w:pStyle w:val="Compact"/>
            </w:pPr>
          </w:p>
        </w:tc>
        <w:tc>
          <w:tcPr>
            <w:tcW w:type="dxa" w:w="3086"/>
            <w:shd w:val="clear" w:color="auto" w:fill="E6ECF4"/>
          </w:tcPr>
          <w:p>
            <w:pPr>
              <w:pStyle w:val="Compact"/>
            </w:pPr>
          </w:p>
        </w:tc>
        <w:tc>
          <w:tcPr>
            <w:tcW w:type="dxa" w:w="1496"/>
            <w:shd w:val="clear" w:color="auto" w:fill="E6ECF4"/>
          </w:tcPr>
          <w:p>
            <w:pPr>
              <w:pStyle w:val="Compact"/>
            </w:pPr>
          </w:p>
        </w:tc>
      </w:tr>
      <w:tr>
        <w:trPr>
          <w:cantSplit/>
        </w:trPr>
        <w:tc>
          <w:tcPr>
            <w:tcW w:type="dxa" w:w="2244"/>
          </w:tcPr>
          <w:p>
            <w:pPr>
              <w:pStyle w:val="Compact"/>
            </w:pPr>
            <w:r>
              <w:t xml:space="preserve">Safety: fire, self-neglect, self-harm</w:t>
            </w:r>
          </w:p>
        </w:tc>
        <w:tc>
          <w:tcPr>
            <w:tcW w:type="dxa" w:w="2525"/>
          </w:tcPr>
          <w:p>
            <w:pPr>
              <w:pStyle w:val="Compact"/>
            </w:pPr>
          </w:p>
        </w:tc>
        <w:tc>
          <w:tcPr>
            <w:tcW w:type="dxa" w:w="3086"/>
          </w:tcPr>
          <w:p>
            <w:pPr>
              <w:pStyle w:val="Compact"/>
            </w:pPr>
          </w:p>
        </w:tc>
        <w:tc>
          <w:tcPr>
            <w:tcW w:type="dxa" w:w="1496"/>
          </w:tcPr>
          <w:p>
            <w:pPr>
              <w:pStyle w:val="Compact"/>
            </w:pPr>
          </w:p>
        </w:tc>
      </w:tr>
      <w:tr>
        <w:trPr>
          <w:cantSplit/>
        </w:trPr>
        <w:tc>
          <w:tcPr>
            <w:tcW w:type="dxa" w:w="2244"/>
            <w:shd w:val="clear" w:color="auto" w:fill="E6ECF4"/>
          </w:tcPr>
          <w:p>
            <w:pPr>
              <w:pStyle w:val="Compact"/>
            </w:pPr>
            <w:r>
              <w:t xml:space="preserve">Risk from others: exploitation, cuckooing, abuse</w:t>
            </w:r>
          </w:p>
        </w:tc>
        <w:tc>
          <w:tcPr>
            <w:tcW w:type="dxa" w:w="2525"/>
            <w:shd w:val="clear" w:color="auto" w:fill="E6ECF4"/>
          </w:tcPr>
          <w:p>
            <w:pPr>
              <w:pStyle w:val="Compact"/>
            </w:pPr>
          </w:p>
        </w:tc>
        <w:tc>
          <w:tcPr>
            <w:tcW w:type="dxa" w:w="3086"/>
            <w:shd w:val="clear" w:color="auto" w:fill="E6ECF4"/>
          </w:tcPr>
          <w:p>
            <w:pPr>
              <w:pStyle w:val="Compact"/>
            </w:pPr>
          </w:p>
        </w:tc>
        <w:tc>
          <w:tcPr>
            <w:tcW w:type="dxa" w:w="1496"/>
            <w:shd w:val="clear" w:color="auto" w:fill="E6ECF4"/>
          </w:tcPr>
          <w:p>
            <w:pPr>
              <w:pStyle w:val="Compact"/>
            </w:pPr>
          </w:p>
        </w:tc>
      </w:tr>
      <w:tr>
        <w:trPr>
          <w:cantSplit/>
        </w:trPr>
        <w:tc>
          <w:tcPr>
            <w:tcW w:type="dxa" w:w="2244"/>
          </w:tcPr>
          <w:p>
            <w:pPr>
              <w:pStyle w:val="Compact"/>
            </w:pPr>
            <w:r>
              <w:t xml:space="preserve">Behaviour and relationships with other tenants</w:t>
            </w:r>
          </w:p>
        </w:tc>
        <w:tc>
          <w:tcPr>
            <w:tcW w:type="dxa" w:w="2525"/>
          </w:tcPr>
          <w:p>
            <w:pPr>
              <w:pStyle w:val="Compact"/>
            </w:pPr>
          </w:p>
        </w:tc>
        <w:tc>
          <w:tcPr>
            <w:tcW w:type="dxa" w:w="3086"/>
          </w:tcPr>
          <w:p>
            <w:pPr>
              <w:pStyle w:val="Compact"/>
            </w:pPr>
          </w:p>
        </w:tc>
        <w:tc>
          <w:tcPr>
            <w:tcW w:type="dxa" w:w="1496"/>
          </w:tcPr>
          <w:p>
            <w:pPr>
              <w:pStyle w:val="Compact"/>
            </w:pPr>
          </w:p>
        </w:tc>
      </w:tr>
      <w:tr>
        <w:trPr>
          <w:cantSplit/>
        </w:trPr>
        <w:tc>
          <w:tcPr>
            <w:tcW w:type="dxa" w:w="2244"/>
            <w:shd w:val="clear" w:color="auto" w:fill="E6ECF4"/>
          </w:tcPr>
          <w:p>
            <w:pPr>
              <w:pStyle w:val="Compact"/>
            </w:pPr>
            <w:r>
              <w:t xml:space="preserve">Mental health</w:t>
            </w:r>
          </w:p>
        </w:tc>
        <w:tc>
          <w:tcPr>
            <w:tcW w:type="dxa" w:w="2525"/>
            <w:shd w:val="clear" w:color="auto" w:fill="E6ECF4"/>
          </w:tcPr>
          <w:p>
            <w:pPr>
              <w:pStyle w:val="Compact"/>
            </w:pPr>
          </w:p>
        </w:tc>
        <w:tc>
          <w:tcPr>
            <w:tcW w:type="dxa" w:w="3086"/>
            <w:shd w:val="clear" w:color="auto" w:fill="E6ECF4"/>
          </w:tcPr>
          <w:p>
            <w:pPr>
              <w:pStyle w:val="Compact"/>
            </w:pPr>
          </w:p>
        </w:tc>
        <w:tc>
          <w:tcPr>
            <w:tcW w:type="dxa" w:w="1496"/>
            <w:shd w:val="clear" w:color="auto" w:fill="E6ECF4"/>
          </w:tcPr>
          <w:p>
            <w:pPr>
              <w:pStyle w:val="Compact"/>
            </w:pPr>
          </w:p>
        </w:tc>
      </w:tr>
      <w:tr>
        <w:trPr>
          <w:cantSplit/>
        </w:trPr>
        <w:tc>
          <w:tcPr>
            <w:tcW w:type="dxa" w:w="2244"/>
          </w:tcPr>
          <w:p>
            <w:pPr>
              <w:pStyle w:val="Compact"/>
            </w:pPr>
            <w:r>
              <w:t xml:space="preserve">Physical health and mobility</w:t>
            </w:r>
          </w:p>
        </w:tc>
        <w:tc>
          <w:tcPr>
            <w:tcW w:type="dxa" w:w="2525"/>
          </w:tcPr>
          <w:p>
            <w:pPr>
              <w:pStyle w:val="Compact"/>
            </w:pPr>
          </w:p>
        </w:tc>
        <w:tc>
          <w:tcPr>
            <w:tcW w:type="dxa" w:w="3086"/>
          </w:tcPr>
          <w:p>
            <w:pPr>
              <w:pStyle w:val="Compact"/>
            </w:pPr>
          </w:p>
        </w:tc>
        <w:tc>
          <w:tcPr>
            <w:tcW w:type="dxa" w:w="1496"/>
          </w:tcPr>
          <w:p>
            <w:pPr>
              <w:pStyle w:val="Compact"/>
            </w:pPr>
          </w:p>
        </w:tc>
      </w:tr>
      <w:tr>
        <w:trPr>
          <w:cantSplit/>
        </w:trPr>
        <w:tc>
          <w:tcPr>
            <w:tcW w:type="dxa" w:w="2244"/>
            <w:shd w:val="clear" w:color="auto" w:fill="E6ECF4"/>
          </w:tcPr>
          <w:p>
            <w:pPr>
              <w:pStyle w:val="Compact"/>
            </w:pPr>
            <w:r>
              <w:t xml:space="preserve">Substance use</w:t>
            </w:r>
          </w:p>
        </w:tc>
        <w:tc>
          <w:tcPr>
            <w:tcW w:type="dxa" w:w="2525"/>
            <w:shd w:val="clear" w:color="auto" w:fill="E6ECF4"/>
          </w:tcPr>
          <w:p>
            <w:pPr>
              <w:pStyle w:val="Compact"/>
            </w:pPr>
          </w:p>
        </w:tc>
        <w:tc>
          <w:tcPr>
            <w:tcW w:type="dxa" w:w="3086"/>
            <w:shd w:val="clear" w:color="auto" w:fill="E6ECF4"/>
          </w:tcPr>
          <w:p>
            <w:pPr>
              <w:pStyle w:val="Compact"/>
            </w:pPr>
          </w:p>
        </w:tc>
        <w:tc>
          <w:tcPr>
            <w:tcW w:type="dxa" w:w="1496"/>
            <w:shd w:val="clear" w:color="auto" w:fill="E6ECF4"/>
          </w:tcPr>
          <w:p>
            <w:pPr>
              <w:pStyle w:val="Compact"/>
            </w:pPr>
          </w:p>
        </w:tc>
      </w:tr>
      <w:tr>
        <w:trPr>
          <w:cantSplit/>
        </w:trPr>
        <w:tc>
          <w:tcPr>
            <w:tcW w:type="dxa" w:w="2244"/>
          </w:tcPr>
          <w:p>
            <w:pPr>
              <w:pStyle w:val="Compact"/>
            </w:pPr>
            <w:r>
              <w:t xml:space="preserve">Offending and licence conditions</w:t>
            </w:r>
          </w:p>
        </w:tc>
        <w:tc>
          <w:tcPr>
            <w:tcW w:type="dxa" w:w="2525"/>
          </w:tcPr>
          <w:p>
            <w:pPr>
              <w:pStyle w:val="Compact"/>
            </w:pPr>
          </w:p>
        </w:tc>
        <w:tc>
          <w:tcPr>
            <w:tcW w:type="dxa" w:w="3086"/>
          </w:tcPr>
          <w:p>
            <w:pPr>
              <w:pStyle w:val="Compact"/>
            </w:pPr>
          </w:p>
        </w:tc>
        <w:tc>
          <w:tcPr>
            <w:tcW w:type="dxa" w:w="1496"/>
          </w:tcPr>
          <w:p>
            <w:pPr>
              <w:pStyle w:val="Compact"/>
            </w:pPr>
          </w:p>
        </w:tc>
      </w:tr>
      <w:tr>
        <w:trPr>
          <w:cantSplit/>
        </w:trPr>
        <w:tc>
          <w:tcPr>
            <w:tcW w:type="dxa" w:w="2244"/>
            <w:shd w:val="clear" w:color="auto" w:fill="E6ECF4"/>
          </w:tcPr>
          <w:p>
            <w:pPr>
              <w:pStyle w:val="Compact"/>
            </w:pPr>
            <w:r>
              <w:t xml:space="preserve">Money and benefits, including Housing Benefit</w:t>
            </w:r>
          </w:p>
        </w:tc>
        <w:tc>
          <w:tcPr>
            <w:tcW w:type="dxa" w:w="2525"/>
            <w:shd w:val="clear" w:color="auto" w:fill="E6ECF4"/>
          </w:tcPr>
          <w:p>
            <w:pPr>
              <w:pStyle w:val="Compact"/>
            </w:pPr>
          </w:p>
        </w:tc>
        <w:tc>
          <w:tcPr>
            <w:tcW w:type="dxa" w:w="3086"/>
            <w:shd w:val="clear" w:color="auto" w:fill="E6ECF4"/>
          </w:tcPr>
          <w:p>
            <w:pPr>
              <w:pStyle w:val="Compact"/>
            </w:pPr>
          </w:p>
        </w:tc>
        <w:tc>
          <w:tcPr>
            <w:tcW w:type="dxa" w:w="1496"/>
            <w:shd w:val="clear" w:color="auto" w:fill="E6ECF4"/>
          </w:tcPr>
          <w:p>
            <w:pPr>
              <w:pStyle w:val="Compact"/>
            </w:pPr>
          </w:p>
        </w:tc>
      </w:tr>
      <w:tr>
        <w:trPr>
          <w:cantSplit/>
        </w:trPr>
        <w:tc>
          <w:tcPr>
            <w:tcW w:type="dxa" w:w="2244"/>
          </w:tcPr>
          <w:p>
            <w:pPr>
              <w:pStyle w:val="Compact"/>
            </w:pPr>
            <w:r>
              <w:t xml:space="preserve">Daily living skills</w:t>
            </w:r>
          </w:p>
        </w:tc>
        <w:tc>
          <w:tcPr>
            <w:tcW w:type="dxa" w:w="2525"/>
          </w:tcPr>
          <w:p>
            <w:pPr>
              <w:pStyle w:val="Compact"/>
            </w:pPr>
          </w:p>
        </w:tc>
        <w:tc>
          <w:tcPr>
            <w:tcW w:type="dxa" w:w="3086"/>
          </w:tcPr>
          <w:p>
            <w:pPr>
              <w:pStyle w:val="Compact"/>
            </w:pPr>
          </w:p>
        </w:tc>
        <w:tc>
          <w:tcPr>
            <w:tcW w:type="dxa" w:w="1496"/>
          </w:tcPr>
          <w:p>
            <w:pPr>
              <w:pStyle w:val="Compact"/>
            </w:pPr>
          </w:p>
        </w:tc>
      </w:tr>
      <w:tr>
        <w:trPr>
          <w:cantSplit/>
        </w:trPr>
        <w:tc>
          <w:tcPr>
            <w:tcW w:type="dxa" w:w="2244"/>
            <w:shd w:val="clear" w:color="auto" w:fill="E6ECF4"/>
          </w:tcPr>
          <w:p>
            <w:pPr>
              <w:pStyle w:val="Compact"/>
            </w:pPr>
            <w:r>
              <w:t xml:space="preserve">Personal care</w:t>
            </w:r>
          </w:p>
        </w:tc>
        <w:tc>
          <w:tcPr>
            <w:tcW w:type="dxa" w:w="2525"/>
            <w:shd w:val="clear" w:color="auto" w:fill="E6ECF4"/>
          </w:tcPr>
          <w:p>
            <w:pPr>
              <w:pStyle w:val="Compact"/>
            </w:pPr>
          </w:p>
        </w:tc>
        <w:tc>
          <w:tcPr>
            <w:tcW w:type="dxa" w:w="3086"/>
            <w:shd w:val="clear" w:color="auto" w:fill="E6ECF4"/>
          </w:tcPr>
          <w:p>
            <w:pPr>
              <w:pStyle w:val="Compact"/>
            </w:pPr>
          </w:p>
        </w:tc>
        <w:tc>
          <w:tcPr>
            <w:tcW w:type="dxa" w:w="1496"/>
            <w:shd w:val="clear" w:color="auto" w:fill="E6ECF4"/>
          </w:tcPr>
          <w:p>
            <w:pPr>
              <w:pStyle w:val="Compact"/>
            </w:pPr>
          </w:p>
        </w:tc>
      </w:tr>
      <w:tr>
        <w:trPr>
          <w:cantSplit/>
        </w:trPr>
        <w:tc>
          <w:tcPr>
            <w:tcW w:type="dxa" w:w="2244"/>
          </w:tcPr>
          <w:p>
            <w:pPr>
              <w:pStyle w:val="Compact"/>
            </w:pPr>
            <w:r>
              <w:t xml:space="preserve">Education, training and work</w:t>
            </w:r>
          </w:p>
        </w:tc>
        <w:tc>
          <w:tcPr>
            <w:tcW w:type="dxa" w:w="2525"/>
          </w:tcPr>
          <w:p>
            <w:pPr>
              <w:pStyle w:val="Compact"/>
            </w:pPr>
          </w:p>
        </w:tc>
        <w:tc>
          <w:tcPr>
            <w:tcW w:type="dxa" w:w="3086"/>
          </w:tcPr>
          <w:p>
            <w:pPr>
              <w:pStyle w:val="Compact"/>
            </w:pPr>
          </w:p>
        </w:tc>
        <w:tc>
          <w:tcPr>
            <w:tcW w:type="dxa" w:w="1496"/>
          </w:tcPr>
          <w:p>
            <w:pPr>
              <w:pStyle w:val="Compact"/>
            </w:pPr>
          </w:p>
        </w:tc>
      </w:tr>
      <w:tr>
        <w:trPr>
          <w:cantSplit/>
        </w:trPr>
        <w:tc>
          <w:tcPr>
            <w:tcW w:type="dxa" w:w="2244"/>
            <w:shd w:val="clear" w:color="auto" w:fill="E6ECF4"/>
          </w:tcPr>
          <w:p>
            <w:pPr>
              <w:pStyle w:val="Compact"/>
            </w:pPr>
            <w:r>
              <w:t xml:space="preserve">Wellbeing and social contact</w:t>
            </w:r>
          </w:p>
        </w:tc>
        <w:tc>
          <w:tcPr>
            <w:tcW w:type="dxa" w:w="2525"/>
            <w:shd w:val="clear" w:color="auto" w:fill="E6ECF4"/>
          </w:tcPr>
          <w:p>
            <w:pPr>
              <w:pStyle w:val="Compact"/>
            </w:pPr>
          </w:p>
        </w:tc>
        <w:tc>
          <w:tcPr>
            <w:tcW w:type="dxa" w:w="3086"/>
            <w:shd w:val="clear" w:color="auto" w:fill="E6ECF4"/>
          </w:tcPr>
          <w:p>
            <w:pPr>
              <w:pStyle w:val="Compact"/>
            </w:pPr>
          </w:p>
        </w:tc>
        <w:tc>
          <w:tcPr>
            <w:tcW w:type="dxa" w:w="1496"/>
            <w:shd w:val="clear" w:color="auto" w:fill="E6ECF4"/>
          </w:tcPr>
          <w:p>
            <w:pPr>
              <w:pStyle w:val="Compact"/>
            </w:pPr>
          </w:p>
        </w:tc>
      </w:tr>
      <w:tr>
        <w:trPr>
          <w:cantSplit/>
        </w:trPr>
        <w:tc>
          <w:tcPr>
            <w:tcW w:type="dxa" w:w="2244"/>
          </w:tcPr>
          <w:p>
            <w:pPr>
              <w:pStyle w:val="Compact"/>
            </w:pPr>
            <w:r>
              <w:t xml:space="preserve">Readiness for move-on</w:t>
            </w:r>
          </w:p>
        </w:tc>
        <w:tc>
          <w:tcPr>
            <w:tcW w:type="dxa" w:w="2525"/>
          </w:tcPr>
          <w:p>
            <w:pPr>
              <w:pStyle w:val="Compact"/>
            </w:pPr>
          </w:p>
        </w:tc>
        <w:tc>
          <w:tcPr>
            <w:tcW w:type="dxa" w:w="3086"/>
          </w:tcPr>
          <w:p>
            <w:pPr>
              <w:pStyle w:val="Compact"/>
            </w:pPr>
          </w:p>
        </w:tc>
        <w:tc>
          <w:tcPr>
            <w:tcW w:type="dxa" w:w="1496"/>
          </w:tcPr>
          <w:p>
            <w:pPr>
              <w:pStyle w:val="Compact"/>
            </w:pPr>
          </w:p>
        </w:tc>
      </w:tr>
    </w:tbl>
    <w:bookmarkEnd w:id="12"/>
    <w:bookmarkStart w:id="13" w:name="X58380946c51dbec14b91f90aa07b0681db8d917"/>
    <w:p>
      <w:pPr>
        <w:pStyle w:val="Heading3"/>
      </w:pPr>
      <w:r>
        <w:t xml:space="preserve">A3. Why this accommodation and this support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Why the tenant needs supported housing rather than general needs housing</w:t>
            </w:r>
          </w:p>
        </w:tc>
        <w:tc>
          <w:tcPr>
            <w:tcW w:type="dxa" w:w="5425"/>
          </w:tcPr>
          <w:p>
            <w:pPr>
              <w:pStyle w:val="Compact"/>
            </w:pPr>
          </w:p>
        </w:tc>
      </w:tr>
      <w:tr>
        <w:trPr>
          <w:cantSplit/>
        </w:trPr>
        <w:tc>
          <w:tcPr>
            <w:tcW w:type="dxa" w:w="3928"/>
            <w:shd w:val="clear" w:color="auto" w:fill="E6ECF4"/>
          </w:tcPr>
          <w:p>
            <w:pPr>
              <w:pStyle w:val="Compact"/>
            </w:pPr>
            <w:r>
              <w:t xml:space="preserve">Why this scheme is suitable for them</w:t>
            </w:r>
          </w:p>
        </w:tc>
        <w:tc>
          <w:tcPr>
            <w:tcW w:type="dxa" w:w="5425"/>
            <w:shd w:val="clear" w:color="auto" w:fill="E6ECF4"/>
          </w:tcPr>
          <w:p>
            <w:pPr>
              <w:pStyle w:val="Compact"/>
            </w:pPr>
          </w:p>
        </w:tc>
      </w:tr>
      <w:tr>
        <w:trPr>
          <w:cantSplit/>
        </w:trPr>
        <w:tc>
          <w:tcPr>
            <w:tcW w:type="dxa" w:w="3928"/>
          </w:tcPr>
          <w:p>
            <w:pPr>
              <w:pStyle w:val="Compact"/>
            </w:pPr>
            <w:r>
              <w:t xml:space="preserve">What is likely to happen without the support (for example, tenancy breakdown, harm, return to rough sleeping)</w:t>
            </w:r>
          </w:p>
        </w:tc>
        <w:tc>
          <w:tcPr>
            <w:tcW w:type="dxa" w:w="5425"/>
          </w:tcPr>
          <w:p>
            <w:pPr>
              <w:pStyle w:val="Compact"/>
            </w:pPr>
          </w:p>
        </w:tc>
      </w:tr>
      <w:tr>
        <w:trPr>
          <w:cantSplit/>
        </w:trPr>
        <w:tc>
          <w:tcPr>
            <w:tcW w:type="dxa" w:w="3928"/>
            <w:shd w:val="clear" w:color="auto" w:fill="E6ECF4"/>
          </w:tcPr>
          <w:p>
            <w:pPr>
              <w:pStyle w:val="Compact"/>
            </w:pPr>
            <w:r>
              <w:t xml:space="preserve">Potential needs: support that may not be used every week but has a real prospect of being needed (for example, crisis or relapse)</w:t>
            </w:r>
          </w:p>
        </w:tc>
        <w:tc>
          <w:tcPr>
            <w:tcW w:type="dxa" w:w="5425"/>
            <w:shd w:val="clear" w:color="auto" w:fill="E6ECF4"/>
          </w:tcPr>
          <w:p>
            <w:pPr>
              <w:pStyle w:val="Compact"/>
            </w:pPr>
          </w:p>
        </w:tc>
      </w:tr>
      <w:tr>
        <w:trPr>
          <w:cantSplit/>
        </w:trPr>
        <w:tc>
          <w:tcPr>
            <w:tcW w:type="dxa" w:w="3928"/>
          </w:tcPr>
          <w:p>
            <w:pPr>
              <w:pStyle w:val="Compact"/>
            </w:pPr>
            <w:r>
              <w:t xml:space="preserve">Third-party indicators, if any (PIP, care package, probation, care or treatment plan, personalised housing plan)</w:t>
            </w:r>
          </w:p>
        </w:tc>
        <w:tc>
          <w:tcPr>
            <w:tcW w:type="dxa" w:w="5425"/>
          </w:tcPr>
          <w:p>
            <w:pPr>
              <w:pStyle w:val="Compact"/>
            </w:pPr>
          </w:p>
        </w:tc>
      </w:tr>
    </w:tbl>
    <w:bookmarkEnd w:id="13"/>
    <w:bookmarkStart w:id="14" w:name="a4-assessor-and-tenant"/>
    <w:p>
      <w:pPr>
        <w:pStyle w:val="Heading3"/>
      </w:pPr>
      <w:r>
        <w:t xml:space="preserve">A4. Assessor and tenant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Assessor name and role</w:t>
            </w:r>
          </w:p>
        </w:tc>
        <w:tc>
          <w:tcPr>
            <w:tcW w:type="dxa" w:w="5425"/>
          </w:tcPr>
          <w:p>
            <w:pPr>
              <w:pStyle w:val="Compact"/>
            </w:pPr>
          </w:p>
        </w:tc>
      </w:tr>
      <w:tr>
        <w:trPr>
          <w:cantSplit/>
        </w:trPr>
        <w:tc>
          <w:tcPr>
            <w:tcW w:type="dxa" w:w="3928"/>
            <w:shd w:val="clear" w:color="auto" w:fill="E6ECF4"/>
          </w:tcPr>
          <w:p>
            <w:pPr>
              <w:pStyle w:val="Compact"/>
            </w:pPr>
            <w:r>
              <w:t xml:space="preserve">Relevant training, qualification or experience (DWP guidance, para 145)</w:t>
            </w:r>
          </w:p>
        </w:tc>
        <w:tc>
          <w:tcPr>
            <w:tcW w:type="dxa" w:w="5425"/>
            <w:shd w:val="clear" w:color="auto" w:fill="E6ECF4"/>
          </w:tcPr>
          <w:p>
            <w:pPr>
              <w:pStyle w:val="Compact"/>
            </w:pPr>
          </w:p>
        </w:tc>
      </w:tr>
      <w:tr>
        <w:trPr>
          <w:cantSplit/>
        </w:trPr>
        <w:tc>
          <w:tcPr>
            <w:tcW w:type="dxa" w:w="3928"/>
          </w:tcPr>
          <w:p>
            <w:pPr>
              <w:pStyle w:val="Compact"/>
            </w:pPr>
            <w:r>
              <w:t xml:space="preserve">Date of assessment</w:t>
            </w:r>
          </w:p>
        </w:tc>
        <w:tc>
          <w:tcPr>
            <w:tcW w:type="dxa" w:w="5425"/>
          </w:tcPr>
          <w:p>
            <w:pPr>
              <w:pStyle w:val="Compact"/>
            </w:pPr>
          </w:p>
        </w:tc>
      </w:tr>
      <w:tr>
        <w:trPr>
          <w:cantSplit/>
        </w:trPr>
        <w:tc>
          <w:tcPr>
            <w:tcW w:type="dxa" w:w="3928"/>
            <w:shd w:val="clear" w:color="auto" w:fill="E6ECF4"/>
          </w:tcPr>
          <w:p>
            <w:pPr>
              <w:pStyle w:val="Compact"/>
            </w:pPr>
            <w:r>
              <w:t xml:space="preserve">The tenant's own views on their needs and goals</w:t>
            </w:r>
          </w:p>
        </w:tc>
        <w:tc>
          <w:tcPr>
            <w:tcW w:type="dxa" w:w="5425"/>
            <w:shd w:val="clear" w:color="auto" w:fill="E6ECF4"/>
          </w:tcPr>
          <w:p>
            <w:pPr>
              <w:pStyle w:val="Compact"/>
            </w:pPr>
          </w:p>
        </w:tc>
      </w:tr>
      <w:tr>
        <w:trPr>
          <w:cantSplit/>
        </w:trPr>
        <w:tc>
          <w:tcPr>
            <w:tcW w:type="dxa" w:w="3928"/>
          </w:tcPr>
          <w:p>
            <w:pPr>
              <w:pStyle w:val="Compact"/>
            </w:pPr>
            <w:r>
              <w:t xml:space="preserve">Tenant signature and date (or reason not signed)</w:t>
            </w:r>
          </w:p>
        </w:tc>
        <w:tc>
          <w:tcPr>
            <w:tcW w:type="dxa" w:w="5425"/>
          </w:tcPr>
          <w:p>
            <w:pPr>
              <w:pStyle w:val="Compact"/>
            </w:pPr>
          </w:p>
        </w:tc>
      </w:tr>
    </w:tbl>
    <w:bookmarkEnd w:id="14"/>
    <w:bookmarkEnd w:id="15"/>
    <w:bookmarkStart w:id="21" w:name="part-b-support-plan"/>
    <w:p>
      <w:pPr>
        <w:pStyle w:val="Heading2"/>
        <w:pageBreakBefore/>
        <w:pBdr>
          <w:bottom w:val="single" w:sz="12" w:space="4" w:color="FF9202"/>
        </w:pBdr>
      </w:pPr>
      <w:r>
        <w:t xml:space="preserve">Part B: Support plan</w:t>
      </w:r>
    </w:p>
    <w:p>
      <w:pPr>
        <w:pStyle w:val="FirstParagraph"/>
      </w:pPr>
      <w:r>
        <w:t xml:space="preserve">Complete with the tenant, from the needs in Part A. Each action should link to a need.</w:t>
      </w:r>
    </w:p>
    <w:bookmarkStart w:id="16" w:name="b1-planned-care-support-or-supervision"/>
    <w:p>
      <w:pPr>
        <w:pStyle w:val="Heading3"/>
      </w:pPr>
      <w:r>
        <w:t xml:space="preserve">B1. Planned care, support or supervision</w:t>
      </w:r>
    </w:p>
    <w:p>
      <w:pPr>
        <w:pStyle w:val="FirstParagraph"/>
      </w:pPr>
      <w:r>
        <w:t xml:space="preserve">Use the "Type" column to show whether each action is eligible for Housing Benefit:</w:t>
      </w:r>
    </w:p>
    <w:p>
      <w:pPr>
        <w:pStyle w:val="Compact"/>
        <w:numPr>
          <w:ilvl w:val="0"/>
          <w:numId w:val="1002"/>
        </w:numPr>
      </w:pPr>
      <w:r>
        <w:rPr>
          <w:b/>
          <w:bCs/>
        </w:rPr>
        <w:t xml:space="preserve">HRS:</w:t>
      </w:r>
      <w:r>
        <w:t xml:space="preserve"> </w:t>
      </w:r>
      <w:r>
        <w:t xml:space="preserve">housing-related support, including tenancy sustainment and help with Housing Benefit (eligible)</w:t>
      </w:r>
    </w:p>
    <w:p>
      <w:pPr>
        <w:pStyle w:val="Compact"/>
        <w:numPr>
          <w:ilvl w:val="0"/>
          <w:numId w:val="1002"/>
        </w:numPr>
      </w:pPr>
      <w:r>
        <w:rPr>
          <w:b/>
          <w:bCs/>
        </w:rPr>
        <w:t xml:space="preserve">IHM:</w:t>
      </w:r>
      <w:r>
        <w:t xml:space="preserve"> </w:t>
      </w:r>
      <w:r>
        <w:t xml:space="preserve">intensive housing management and maintenance, including repairs and works arranged around the tenant's needs (eligible)</w:t>
      </w:r>
    </w:p>
    <w:p>
      <w:pPr>
        <w:pStyle w:val="Compact"/>
        <w:numPr>
          <w:ilvl w:val="0"/>
          <w:numId w:val="1002"/>
        </w:numPr>
      </w:pPr>
      <w:r>
        <w:rPr>
          <w:b/>
          <w:bCs/>
        </w:rPr>
        <w:t xml:space="preserve">SUP:</w:t>
      </w:r>
      <w:r>
        <w:t xml:space="preserve"> </w:t>
      </w:r>
      <w:r>
        <w:t xml:space="preserve">supervision, including welfare checks and on-call cover (eligible)</w:t>
      </w:r>
    </w:p>
    <w:p>
      <w:pPr>
        <w:pStyle w:val="Compact"/>
        <w:numPr>
          <w:ilvl w:val="0"/>
          <w:numId w:val="1002"/>
        </w:numPr>
      </w:pPr>
      <w:r>
        <w:rPr>
          <w:b/>
          <w:bCs/>
        </w:rPr>
        <w:t xml:space="preserve">CPS:</w:t>
      </w:r>
      <w:r>
        <w:t xml:space="preserve"> </w:t>
      </w:r>
      <w:r>
        <w:t xml:space="preserve">care or personal support, such as personal care, counselling, emotional support or life skills (not eligible; record who provides and funds it)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777"/>
        <w:gridCol w:w="3086"/>
        <w:gridCol w:w="841"/>
        <w:gridCol w:w="1870"/>
        <w:gridCol w:w="1777"/>
      </w:tblGrid>
      <w:tr>
        <w:trPr>
          <w:tblHeader w:val="on"/>
          <w:cantSplit/>
          <w:tblHeader w:val="true"/>
        </w:trPr>
        <w:tc>
          <w:tcPr>
            <w:tcW w:type="dxa" w:w="1777"/>
            <w:shd w:val="clear" w:color="auto" w:fill="002F6D"/>
          </w:tcPr>
          <w:p>
            <w:pPr>
              <w:pStyle w:val="Compact"/>
            </w:pPr>
            <w:r>
              <w:rPr>
                <w:b/>
                <w:color w:val="FFFFFF"/>
              </w:rPr>
              <w:t xml:space="preserve">Need</w:t>
            </w:r>
          </w:p>
        </w:tc>
        <w:tc>
          <w:tcPr>
            <w:tcW w:type="dxa" w:w="3086"/>
            <w:shd w:val="clear" w:color="auto" w:fill="002F6D"/>
          </w:tcPr>
          <w:p>
            <w:pPr>
              <w:pStyle w:val="Compact"/>
            </w:pPr>
            <w:r>
              <w:rPr>
                <w:b/>
                <w:color w:val="FFFFFF"/>
              </w:rPr>
              <w:t xml:space="preserve">What will be done</w:t>
            </w:r>
          </w:p>
        </w:tc>
        <w:tc>
          <w:tcPr>
            <w:tcW w:type="dxa" w:w="841"/>
            <w:shd w:val="clear" w:color="auto" w:fill="002F6D"/>
          </w:tcPr>
          <w:p>
            <w:pPr>
              <w:pStyle w:val="Compact"/>
            </w:pPr>
            <w:r>
              <w:rPr>
                <w:b/>
                <w:color w:val="FFFFFF"/>
              </w:rPr>
              <w:t xml:space="preserve">Type</w:t>
            </w:r>
          </w:p>
        </w:tc>
        <w:tc>
          <w:tcPr>
            <w:tcW w:type="dxa" w:w="1870"/>
            <w:shd w:val="clear" w:color="auto" w:fill="002F6D"/>
          </w:tcPr>
          <w:p>
            <w:pPr>
              <w:pStyle w:val="Compact"/>
            </w:pPr>
            <w:r>
              <w:rPr>
                <w:b/>
                <w:color w:val="FFFFFF"/>
              </w:rPr>
              <w:t xml:space="preserve">Who and how often</w:t>
            </w:r>
          </w:p>
        </w:tc>
        <w:tc>
          <w:tcPr>
            <w:tcW w:type="dxa" w:w="1777"/>
            <w:shd w:val="clear" w:color="auto" w:fill="002F6D"/>
          </w:tcPr>
          <w:p>
            <w:pPr>
              <w:pStyle w:val="Compact"/>
            </w:pPr>
            <w:r>
              <w:rPr>
                <w:b/>
                <w:color w:val="FFFFFF"/>
              </w:rPr>
              <w:t xml:space="preserve">Agreed outcome</w:t>
            </w:r>
          </w:p>
        </w:tc>
      </w:tr>
      <w:tr>
        <w:trPr>
          <w:cantSplit/>
        </w:trPr>
        <w:tc>
          <w:tcPr>
            <w:tcW w:type="dxa" w:w="1777"/>
          </w:tcPr>
          <w:p>
            <w:pPr>
              <w:pStyle w:val="Compact"/>
            </w:pPr>
          </w:p>
        </w:tc>
        <w:tc>
          <w:tcPr>
            <w:tcW w:type="dxa" w:w="3086"/>
          </w:tcPr>
          <w:p>
            <w:pPr>
              <w:pStyle w:val="Compact"/>
            </w:pPr>
          </w:p>
        </w:tc>
        <w:tc>
          <w:tcPr>
            <w:tcW w:type="dxa" w:w="841"/>
          </w:tcPr>
          <w:p>
            <w:pPr>
              <w:pStyle w:val="Compact"/>
            </w:pPr>
          </w:p>
        </w:tc>
        <w:tc>
          <w:tcPr>
            <w:tcW w:type="dxa" w:w="1870"/>
          </w:tcPr>
          <w:p>
            <w:pPr>
              <w:pStyle w:val="Compact"/>
            </w:pPr>
          </w:p>
        </w:tc>
        <w:tc>
          <w:tcPr>
            <w:tcW w:type="dxa" w:w="1777"/>
          </w:tcPr>
          <w:p>
            <w:pPr>
              <w:pStyle w:val="Compact"/>
            </w:pPr>
          </w:p>
        </w:tc>
      </w:tr>
      <w:tr>
        <w:trPr>
          <w:cantSplit/>
        </w:trPr>
        <w:tc>
          <w:tcPr>
            <w:tcW w:type="dxa" w:w="1777"/>
            <w:shd w:val="clear" w:color="auto" w:fill="E6ECF4"/>
          </w:tcPr>
          <w:p>
            <w:pPr>
              <w:pStyle w:val="Compact"/>
            </w:pPr>
          </w:p>
        </w:tc>
        <w:tc>
          <w:tcPr>
            <w:tcW w:type="dxa" w:w="3086"/>
            <w:shd w:val="clear" w:color="auto" w:fill="E6ECF4"/>
          </w:tcPr>
          <w:p>
            <w:pPr>
              <w:pStyle w:val="Compact"/>
            </w:pPr>
          </w:p>
        </w:tc>
        <w:tc>
          <w:tcPr>
            <w:tcW w:type="dxa" w:w="841"/>
            <w:shd w:val="clear" w:color="auto" w:fill="E6ECF4"/>
          </w:tcPr>
          <w:p>
            <w:pPr>
              <w:pStyle w:val="Compact"/>
            </w:pPr>
          </w:p>
        </w:tc>
        <w:tc>
          <w:tcPr>
            <w:tcW w:type="dxa" w:w="1870"/>
            <w:shd w:val="clear" w:color="auto" w:fill="E6ECF4"/>
          </w:tcPr>
          <w:p>
            <w:pPr>
              <w:pStyle w:val="Compact"/>
            </w:pPr>
          </w:p>
        </w:tc>
        <w:tc>
          <w:tcPr>
            <w:tcW w:type="dxa" w:w="1777"/>
            <w:shd w:val="clear" w:color="auto" w:fill="E6ECF4"/>
          </w:tcPr>
          <w:p>
            <w:pPr>
              <w:pStyle w:val="Compact"/>
            </w:pPr>
          </w:p>
        </w:tc>
      </w:tr>
      <w:tr>
        <w:trPr>
          <w:cantSplit/>
        </w:trPr>
        <w:tc>
          <w:tcPr>
            <w:tcW w:type="dxa" w:w="1777"/>
          </w:tcPr>
          <w:p>
            <w:pPr>
              <w:pStyle w:val="Compact"/>
            </w:pPr>
          </w:p>
        </w:tc>
        <w:tc>
          <w:tcPr>
            <w:tcW w:type="dxa" w:w="3086"/>
          </w:tcPr>
          <w:p>
            <w:pPr>
              <w:pStyle w:val="Compact"/>
            </w:pPr>
          </w:p>
        </w:tc>
        <w:tc>
          <w:tcPr>
            <w:tcW w:type="dxa" w:w="841"/>
          </w:tcPr>
          <w:p>
            <w:pPr>
              <w:pStyle w:val="Compact"/>
            </w:pPr>
          </w:p>
        </w:tc>
        <w:tc>
          <w:tcPr>
            <w:tcW w:type="dxa" w:w="1870"/>
          </w:tcPr>
          <w:p>
            <w:pPr>
              <w:pStyle w:val="Compact"/>
            </w:pPr>
          </w:p>
        </w:tc>
        <w:tc>
          <w:tcPr>
            <w:tcW w:type="dxa" w:w="1777"/>
          </w:tcPr>
          <w:p>
            <w:pPr>
              <w:pStyle w:val="Compact"/>
            </w:pPr>
          </w:p>
        </w:tc>
      </w:tr>
      <w:tr>
        <w:trPr>
          <w:cantSplit/>
        </w:trPr>
        <w:tc>
          <w:tcPr>
            <w:tcW w:type="dxa" w:w="1777"/>
            <w:shd w:val="clear" w:color="auto" w:fill="E6ECF4"/>
          </w:tcPr>
          <w:p>
            <w:pPr>
              <w:pStyle w:val="Compact"/>
            </w:pPr>
          </w:p>
        </w:tc>
        <w:tc>
          <w:tcPr>
            <w:tcW w:type="dxa" w:w="3086"/>
            <w:shd w:val="clear" w:color="auto" w:fill="E6ECF4"/>
          </w:tcPr>
          <w:p>
            <w:pPr>
              <w:pStyle w:val="Compact"/>
            </w:pPr>
          </w:p>
        </w:tc>
        <w:tc>
          <w:tcPr>
            <w:tcW w:type="dxa" w:w="841"/>
            <w:shd w:val="clear" w:color="auto" w:fill="E6ECF4"/>
          </w:tcPr>
          <w:p>
            <w:pPr>
              <w:pStyle w:val="Compact"/>
            </w:pPr>
          </w:p>
        </w:tc>
        <w:tc>
          <w:tcPr>
            <w:tcW w:type="dxa" w:w="1870"/>
            <w:shd w:val="clear" w:color="auto" w:fill="E6ECF4"/>
          </w:tcPr>
          <w:p>
            <w:pPr>
              <w:pStyle w:val="Compact"/>
            </w:pPr>
          </w:p>
        </w:tc>
        <w:tc>
          <w:tcPr>
            <w:tcW w:type="dxa" w:w="1777"/>
            <w:shd w:val="clear" w:color="auto" w:fill="E6ECF4"/>
          </w:tcPr>
          <w:p>
            <w:pPr>
              <w:pStyle w:val="Compact"/>
            </w:pPr>
          </w:p>
        </w:tc>
      </w:tr>
      <w:tr>
        <w:trPr>
          <w:cantSplit/>
        </w:trPr>
        <w:tc>
          <w:tcPr>
            <w:tcW w:type="dxa" w:w="1777"/>
          </w:tcPr>
          <w:p>
            <w:pPr>
              <w:pStyle w:val="Compact"/>
            </w:pPr>
          </w:p>
        </w:tc>
        <w:tc>
          <w:tcPr>
            <w:tcW w:type="dxa" w:w="3086"/>
          </w:tcPr>
          <w:p>
            <w:pPr>
              <w:pStyle w:val="Compact"/>
            </w:pPr>
          </w:p>
        </w:tc>
        <w:tc>
          <w:tcPr>
            <w:tcW w:type="dxa" w:w="841"/>
          </w:tcPr>
          <w:p>
            <w:pPr>
              <w:pStyle w:val="Compact"/>
            </w:pPr>
          </w:p>
        </w:tc>
        <w:tc>
          <w:tcPr>
            <w:tcW w:type="dxa" w:w="1870"/>
          </w:tcPr>
          <w:p>
            <w:pPr>
              <w:pStyle w:val="Compact"/>
            </w:pPr>
          </w:p>
        </w:tc>
        <w:tc>
          <w:tcPr>
            <w:tcW w:type="dxa" w:w="1777"/>
          </w:tcPr>
          <w:p>
            <w:pPr>
              <w:pStyle w:val="Compact"/>
            </w:pPr>
          </w:p>
        </w:tc>
      </w:tr>
    </w:tbl>
    <w:bookmarkEnd w:id="16"/>
    <w:bookmarkStart w:id="17" w:name="b2-supervision-and-out-of-hours-cover"/>
    <w:p>
      <w:pPr>
        <w:pStyle w:val="Heading3"/>
      </w:pPr>
      <w:r>
        <w:t xml:space="preserve">B2. Supervision and out-of-hours cover</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Staff cover at the scheme (on-site hours, on-call hours)</w:t>
            </w:r>
          </w:p>
        </w:tc>
        <w:tc>
          <w:tcPr>
            <w:tcW w:type="dxa" w:w="5425"/>
          </w:tcPr>
          <w:p>
            <w:pPr>
              <w:pStyle w:val="Compact"/>
            </w:pPr>
          </w:p>
        </w:tc>
      </w:tr>
      <w:tr>
        <w:trPr>
          <w:cantSplit/>
        </w:trPr>
        <w:tc>
          <w:tcPr>
            <w:tcW w:type="dxa" w:w="3928"/>
            <w:shd w:val="clear" w:color="auto" w:fill="E6ECF4"/>
          </w:tcPr>
          <w:p>
            <w:pPr>
              <w:pStyle w:val="Compact"/>
            </w:pPr>
            <w:r>
              <w:t xml:space="preserve">How the tenant can reach staff, day and night</w:t>
            </w:r>
          </w:p>
        </w:tc>
        <w:tc>
          <w:tcPr>
            <w:tcW w:type="dxa" w:w="5425"/>
            <w:shd w:val="clear" w:color="auto" w:fill="E6ECF4"/>
          </w:tcPr>
          <w:p>
            <w:pPr>
              <w:pStyle w:val="Compact"/>
            </w:pPr>
          </w:p>
        </w:tc>
      </w:tr>
      <w:tr>
        <w:trPr>
          <w:cantSplit/>
        </w:trPr>
        <w:tc>
          <w:tcPr>
            <w:tcW w:type="dxa" w:w="3928"/>
          </w:tcPr>
          <w:p>
            <w:pPr>
              <w:pStyle w:val="Compact"/>
            </w:pPr>
            <w:r>
              <w:t xml:space="preserve">Response expected, and what staff will do</w:t>
            </w:r>
          </w:p>
        </w:tc>
        <w:tc>
          <w:tcPr>
            <w:tcW w:type="dxa" w:w="5425"/>
          </w:tcPr>
          <w:p>
            <w:pPr>
              <w:pStyle w:val="Compact"/>
            </w:pPr>
          </w:p>
        </w:tc>
      </w:tr>
      <w:tr>
        <w:trPr>
          <w:cantSplit/>
        </w:trPr>
        <w:tc>
          <w:tcPr>
            <w:tcW w:type="dxa" w:w="3928"/>
            <w:shd w:val="clear" w:color="auto" w:fill="E6ECF4"/>
          </w:tcPr>
          <w:p>
            <w:pPr>
              <w:pStyle w:val="Compact"/>
            </w:pPr>
            <w:r>
              <w:t xml:space="preserve">The tenant's risks that make supervision necessary</w:t>
            </w:r>
          </w:p>
        </w:tc>
        <w:tc>
          <w:tcPr>
            <w:tcW w:type="dxa" w:w="5425"/>
            <w:shd w:val="clear" w:color="auto" w:fill="E6ECF4"/>
          </w:tcPr>
          <w:p>
            <w:pPr>
              <w:pStyle w:val="Compact"/>
            </w:pPr>
          </w:p>
        </w:tc>
      </w:tr>
      <w:tr>
        <w:trPr>
          <w:cantSplit/>
        </w:trPr>
        <w:tc>
          <w:tcPr>
            <w:tcW w:type="dxa" w:w="3928"/>
          </w:tcPr>
          <w:p>
            <w:pPr>
              <w:pStyle w:val="Compact"/>
            </w:pPr>
            <w:r>
              <w:t xml:space="preserve">Welfare checks or monitoring agreed, and how often</w:t>
            </w:r>
          </w:p>
        </w:tc>
        <w:tc>
          <w:tcPr>
            <w:tcW w:type="dxa" w:w="5425"/>
          </w:tcPr>
          <w:p>
            <w:pPr>
              <w:pStyle w:val="Compact"/>
            </w:pPr>
          </w:p>
        </w:tc>
      </w:tr>
    </w:tbl>
    <w:bookmarkEnd w:id="17"/>
    <w:bookmarkStart w:id="18" w:name="b3-move-on-plan"/>
    <w:p>
      <w:pPr>
        <w:pStyle w:val="Heading3"/>
      </w:pPr>
      <w:r>
        <w:t xml:space="preserve">B3. Move-on plan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Expected length of stay</w:t>
            </w:r>
          </w:p>
        </w:tc>
        <w:tc>
          <w:tcPr>
            <w:tcW w:type="dxa" w:w="5425"/>
          </w:tcPr>
          <w:p>
            <w:pPr>
              <w:pStyle w:val="Compact"/>
            </w:pPr>
          </w:p>
        </w:tc>
      </w:tr>
      <w:tr>
        <w:trPr>
          <w:cantSplit/>
        </w:trPr>
        <w:tc>
          <w:tcPr>
            <w:tcW w:type="dxa" w:w="3928"/>
            <w:shd w:val="clear" w:color="auto" w:fill="E6ECF4"/>
          </w:tcPr>
          <w:p>
            <w:pPr>
              <w:pStyle w:val="Compact"/>
            </w:pPr>
            <w:r>
              <w:t xml:space="preserve">Move-on goal (for example, general needs tenancy, other supported housing, return to family)</w:t>
            </w:r>
          </w:p>
        </w:tc>
        <w:tc>
          <w:tcPr>
            <w:tcW w:type="dxa" w:w="5425"/>
            <w:shd w:val="clear" w:color="auto" w:fill="E6ECF4"/>
          </w:tcPr>
          <w:p>
            <w:pPr>
              <w:pStyle w:val="Compact"/>
            </w:pPr>
          </w:p>
        </w:tc>
      </w:tr>
      <w:tr>
        <w:trPr>
          <w:cantSplit/>
        </w:trPr>
        <w:tc>
          <w:tcPr>
            <w:tcW w:type="dxa" w:w="3928"/>
          </w:tcPr>
          <w:p>
            <w:pPr>
              <w:pStyle w:val="Compact"/>
            </w:pPr>
            <w:r>
              <w:t xml:space="preserve">Steps towards move-on, and who will help</w:t>
            </w:r>
          </w:p>
        </w:tc>
        <w:tc>
          <w:tcPr>
            <w:tcW w:type="dxa" w:w="5425"/>
          </w:tcPr>
          <w:p>
            <w:pPr>
              <w:pStyle w:val="Compact"/>
            </w:pPr>
          </w:p>
        </w:tc>
      </w:tr>
      <w:tr>
        <w:trPr>
          <w:cantSplit/>
        </w:trPr>
        <w:tc>
          <w:tcPr>
            <w:tcW w:type="dxa" w:w="3928"/>
            <w:shd w:val="clear" w:color="auto" w:fill="E6ECF4"/>
          </w:tcPr>
          <w:p>
            <w:pPr>
              <w:pStyle w:val="Compact"/>
            </w:pPr>
            <w:r>
              <w:t xml:space="preserve">Support to claim housing costs in the new home</w:t>
            </w:r>
          </w:p>
        </w:tc>
        <w:tc>
          <w:tcPr>
            <w:tcW w:type="dxa" w:w="5425"/>
            <w:shd w:val="clear" w:color="auto" w:fill="E6ECF4"/>
          </w:tcPr>
          <w:p>
            <w:pPr>
              <w:pStyle w:val="Compact"/>
            </w:pPr>
          </w:p>
        </w:tc>
      </w:tr>
    </w:tbl>
    <w:bookmarkEnd w:id="18"/>
    <w:bookmarkStart w:id="19" w:name="b4-reviews"/>
    <w:p>
      <w:pPr>
        <w:pStyle w:val="Heading3"/>
      </w:pPr>
      <w:r>
        <w:t xml:space="preserve">B4. Reviews</w:t>
      </w:r>
    </w:p>
    <w:p>
      <w:pPr>
        <w:pStyle w:val="FirstParagraph"/>
      </w:pPr>
      <w:r>
        <w:t xml:space="preserve">Review the plan at the interval agreed below and whenever the tenant's needs change significantly. SHP suggests at least every three months.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309"/>
        <w:gridCol w:w="2151"/>
        <w:gridCol w:w="2151"/>
        <w:gridCol w:w="2151"/>
        <w:gridCol w:w="1590"/>
      </w:tblGrid>
      <w:tr>
        <w:trPr>
          <w:tblHeader w:val="on"/>
          <w:cantSplit/>
          <w:tblHeader w:val="true"/>
        </w:trPr>
        <w:tc>
          <w:tcPr>
            <w:tcW w:type="dxa" w:w="1309"/>
            <w:shd w:val="clear" w:color="auto" w:fill="002F6D"/>
          </w:tcPr>
          <w:p>
            <w:pPr>
              <w:pStyle w:val="Compact"/>
            </w:pPr>
            <w:r>
              <w:rPr>
                <w:b/>
                <w:color w:val="FFFFFF"/>
              </w:rPr>
              <w:t xml:space="preserve">Review date</w:t>
            </w:r>
          </w:p>
        </w:tc>
        <w:tc>
          <w:tcPr>
            <w:tcW w:type="dxa" w:w="2151"/>
            <w:shd w:val="clear" w:color="auto" w:fill="002F6D"/>
          </w:tcPr>
          <w:p>
            <w:pPr>
              <w:pStyle w:val="Compact"/>
            </w:pPr>
            <w:r>
              <w:rPr>
                <w:b/>
                <w:color w:val="FFFFFF"/>
              </w:rPr>
              <w:t xml:space="preserve">Progress against outcomes</w:t>
            </w:r>
          </w:p>
        </w:tc>
        <w:tc>
          <w:tcPr>
            <w:tcW w:type="dxa" w:w="2151"/>
            <w:shd w:val="clear" w:color="auto" w:fill="002F6D"/>
          </w:tcPr>
          <w:p>
            <w:pPr>
              <w:pStyle w:val="Compact"/>
            </w:pPr>
            <w:r>
              <w:rPr>
                <w:b/>
                <w:color w:val="FFFFFF"/>
              </w:rPr>
              <w:t xml:space="preserve">Changes in need or risk</w:t>
            </w:r>
          </w:p>
        </w:tc>
        <w:tc>
          <w:tcPr>
            <w:tcW w:type="dxa" w:w="2151"/>
            <w:shd w:val="clear" w:color="auto" w:fill="002F6D"/>
          </w:tcPr>
          <w:p>
            <w:pPr>
              <w:pStyle w:val="Compact"/>
            </w:pPr>
            <w:r>
              <w:rPr>
                <w:b/>
                <w:color w:val="FFFFFF"/>
              </w:rPr>
              <w:t xml:space="preserve">Changes to the plan</w:t>
            </w:r>
          </w:p>
        </w:tc>
        <w:tc>
          <w:tcPr>
            <w:tcW w:type="dxa" w:w="1590"/>
            <w:shd w:val="clear" w:color="auto" w:fill="002F6D"/>
          </w:tcPr>
          <w:p>
            <w:pPr>
              <w:pStyle w:val="Compact"/>
            </w:pPr>
            <w:r>
              <w:rPr>
                <w:b/>
                <w:color w:val="FFFFFF"/>
              </w:rPr>
              <w:t xml:space="preserve">Next review</w:t>
            </w:r>
          </w:p>
        </w:tc>
      </w:tr>
      <w:tr>
        <w:trPr>
          <w:cantSplit/>
        </w:trPr>
        <w:tc>
          <w:tcPr>
            <w:tcW w:type="dxa" w:w="1309"/>
          </w:tcPr>
          <w:p>
            <w:pPr>
              <w:pStyle w:val="Compact"/>
            </w:pPr>
          </w:p>
        </w:tc>
        <w:tc>
          <w:tcPr>
            <w:tcW w:type="dxa" w:w="2151"/>
          </w:tcPr>
          <w:p>
            <w:pPr>
              <w:pStyle w:val="Compact"/>
            </w:pPr>
          </w:p>
        </w:tc>
        <w:tc>
          <w:tcPr>
            <w:tcW w:type="dxa" w:w="2151"/>
          </w:tcPr>
          <w:p>
            <w:pPr>
              <w:pStyle w:val="Compact"/>
            </w:pPr>
          </w:p>
        </w:tc>
        <w:tc>
          <w:tcPr>
            <w:tcW w:type="dxa" w:w="2151"/>
          </w:tcPr>
          <w:p>
            <w:pPr>
              <w:pStyle w:val="Compact"/>
            </w:pPr>
          </w:p>
        </w:tc>
        <w:tc>
          <w:tcPr>
            <w:tcW w:type="dxa" w:w="1590"/>
          </w:tcPr>
          <w:p>
            <w:pPr>
              <w:pStyle w:val="Compact"/>
            </w:pPr>
          </w:p>
        </w:tc>
      </w:tr>
      <w:tr>
        <w:trPr>
          <w:cantSplit/>
        </w:trPr>
        <w:tc>
          <w:tcPr>
            <w:tcW w:type="dxa" w:w="1309"/>
            <w:shd w:val="clear" w:color="auto" w:fill="E6ECF4"/>
          </w:tcPr>
          <w:p>
            <w:pPr>
              <w:pStyle w:val="Compact"/>
            </w:pPr>
          </w:p>
        </w:tc>
        <w:tc>
          <w:tcPr>
            <w:tcW w:type="dxa" w:w="2151"/>
            <w:shd w:val="clear" w:color="auto" w:fill="E6ECF4"/>
          </w:tcPr>
          <w:p>
            <w:pPr>
              <w:pStyle w:val="Compact"/>
            </w:pPr>
          </w:p>
        </w:tc>
        <w:tc>
          <w:tcPr>
            <w:tcW w:type="dxa" w:w="2151"/>
            <w:shd w:val="clear" w:color="auto" w:fill="E6ECF4"/>
          </w:tcPr>
          <w:p>
            <w:pPr>
              <w:pStyle w:val="Compact"/>
            </w:pPr>
          </w:p>
        </w:tc>
        <w:tc>
          <w:tcPr>
            <w:tcW w:type="dxa" w:w="2151"/>
            <w:shd w:val="clear" w:color="auto" w:fill="E6ECF4"/>
          </w:tcPr>
          <w:p>
            <w:pPr>
              <w:pStyle w:val="Compact"/>
            </w:pPr>
          </w:p>
        </w:tc>
        <w:tc>
          <w:tcPr>
            <w:tcW w:type="dxa" w:w="1590"/>
            <w:shd w:val="clear" w:color="auto" w:fill="E6ECF4"/>
          </w:tcPr>
          <w:p>
            <w:pPr>
              <w:pStyle w:val="Compact"/>
            </w:pPr>
          </w:p>
        </w:tc>
      </w:tr>
      <w:tr>
        <w:trPr>
          <w:cantSplit/>
        </w:trPr>
        <w:tc>
          <w:tcPr>
            <w:tcW w:type="dxa" w:w="1309"/>
          </w:tcPr>
          <w:p>
            <w:pPr>
              <w:pStyle w:val="Compact"/>
            </w:pPr>
          </w:p>
        </w:tc>
        <w:tc>
          <w:tcPr>
            <w:tcW w:type="dxa" w:w="2151"/>
          </w:tcPr>
          <w:p>
            <w:pPr>
              <w:pStyle w:val="Compact"/>
            </w:pPr>
          </w:p>
        </w:tc>
        <w:tc>
          <w:tcPr>
            <w:tcW w:type="dxa" w:w="2151"/>
          </w:tcPr>
          <w:p>
            <w:pPr>
              <w:pStyle w:val="Compact"/>
            </w:pPr>
          </w:p>
        </w:tc>
        <w:tc>
          <w:tcPr>
            <w:tcW w:type="dxa" w:w="2151"/>
          </w:tcPr>
          <w:p>
            <w:pPr>
              <w:pStyle w:val="Compact"/>
            </w:pPr>
          </w:p>
        </w:tc>
        <w:tc>
          <w:tcPr>
            <w:tcW w:type="dxa" w:w="1590"/>
          </w:tcPr>
          <w:p>
            <w:pPr>
              <w:pStyle w:val="Compact"/>
            </w:pPr>
          </w:p>
        </w:tc>
      </w:tr>
    </w:tbl>
    <w:bookmarkEnd w:id="19"/>
    <w:bookmarkStart w:id="20" w:name="b5-agreement"/>
    <w:p>
      <w:pPr>
        <w:pStyle w:val="Heading3"/>
      </w:pPr>
      <w:r>
        <w:t xml:space="preserve">B5. Agreement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Review interval agreed</w:t>
            </w:r>
          </w:p>
        </w:tc>
        <w:tc>
          <w:tcPr>
            <w:tcW w:type="dxa" w:w="5425"/>
          </w:tcPr>
          <w:p>
            <w:pPr>
              <w:pStyle w:val="Compact"/>
            </w:pPr>
          </w:p>
        </w:tc>
      </w:tr>
      <w:tr>
        <w:trPr>
          <w:cantSplit/>
        </w:trPr>
        <w:tc>
          <w:tcPr>
            <w:tcW w:type="dxa" w:w="3928"/>
            <w:shd w:val="clear" w:color="auto" w:fill="E6ECF4"/>
          </w:tcPr>
          <w:p>
            <w:pPr>
              <w:pStyle w:val="Compact"/>
            </w:pPr>
            <w:r>
              <w:t xml:space="preserve">Tenant signature and date</w:t>
            </w:r>
          </w:p>
        </w:tc>
        <w:tc>
          <w:tcPr>
            <w:tcW w:type="dxa" w:w="5425"/>
            <w:shd w:val="clear" w:color="auto" w:fill="E6ECF4"/>
          </w:tcPr>
          <w:p>
            <w:pPr>
              <w:pStyle w:val="Compact"/>
            </w:pPr>
          </w:p>
        </w:tc>
      </w:tr>
      <w:tr>
        <w:trPr>
          <w:cantSplit/>
        </w:trPr>
        <w:tc>
          <w:tcPr>
            <w:tcW w:type="dxa" w:w="3928"/>
          </w:tcPr>
          <w:p>
            <w:pPr>
              <w:pStyle w:val="Compact"/>
            </w:pPr>
            <w:r>
              <w:t xml:space="preserve">Staff member name, role, signature and date</w:t>
            </w:r>
          </w:p>
        </w:tc>
        <w:tc>
          <w:tcPr>
            <w:tcW w:type="dxa" w:w="5425"/>
          </w:tcPr>
          <w:p>
            <w:pPr>
              <w:pStyle w:val="Compact"/>
            </w:pPr>
          </w:p>
        </w:tc>
      </w:tr>
    </w:tbl>
    <w:bookmarkEnd w:id="20"/>
    <w:bookmarkEnd w:id="21"/>
    <w:bookmarkStart w:id="22" w:name="part-c-notes-on-completing-the-form"/>
    <w:p>
      <w:pPr>
        <w:pStyle w:val="Heading2"/>
        <w:pageBreakBefore/>
        <w:pBdr>
          <w:bottom w:val="single" w:sz="12" w:space="4" w:color="FF9202"/>
        </w:pBdr>
      </w:pPr>
      <w:r>
        <w:t xml:space="preserve">Part C: Notes on completing the form</w:t>
      </w:r>
    </w:p>
    <w:p>
      <w:pPr>
        <w:pStyle w:val="FirstParagraph"/>
      </w:pPr>
      <w:r>
        <w:rPr>
          <w:b/>
          <w:bCs/>
        </w:rPr>
        <w:t xml:space="preserve">For providers:</w:t>
      </w:r>
    </w:p>
    <w:p>
      <w:pPr>
        <w:pStyle w:val="Compact"/>
        <w:numPr>
          <w:ilvl w:val="0"/>
          <w:numId w:val="1003"/>
        </w:numPr>
      </w:pPr>
      <w:r>
        <w:rPr>
          <w:b/>
          <w:bCs/>
        </w:rPr>
        <w:t xml:space="preserve">Be specific.</w:t>
      </w:r>
      <w:r>
        <w:t xml:space="preserve"> </w:t>
      </w:r>
      <w:r>
        <w:t xml:space="preserve">Write about this tenant, not the client group. Plans that are identical for tenants with very different needs are unlikely to be enough (CH/1289/2007, paras 29 and 30).</w:t>
      </w:r>
    </w:p>
    <w:p>
      <w:pPr>
        <w:pStyle w:val="Compact"/>
        <w:numPr>
          <w:ilvl w:val="0"/>
          <w:numId w:val="1003"/>
        </w:numPr>
      </w:pPr>
      <w:r>
        <w:rPr>
          <w:b/>
          <w:bCs/>
        </w:rPr>
        <w:t xml:space="preserve">Link every action to a need.</w:t>
      </w:r>
      <w:r>
        <w:t xml:space="preserve"> </w:t>
      </w:r>
      <w:r>
        <w:t xml:space="preserve">Support is not provided unless there is some need for it (</w:t>
      </w:r>
      <w:r>
        <w:rPr>
          <w:i/>
          <w:iCs/>
        </w:rPr>
        <w:t xml:space="preserve">MMcF v Sefton BC</w:t>
      </w:r>
      <w:r>
        <w:t xml:space="preserve">, para 12).</w:t>
      </w:r>
    </w:p>
    <w:p>
      <w:pPr>
        <w:pStyle w:val="Compact"/>
        <w:numPr>
          <w:ilvl w:val="0"/>
          <w:numId w:val="1003"/>
        </w:numPr>
      </w:pPr>
      <w:r>
        <w:rPr>
          <w:b/>
          <w:bCs/>
        </w:rPr>
        <w:t xml:space="preserve">Say how it differs from ordinary management.</w:t>
      </w:r>
      <w:r>
        <w:t xml:space="preserve"> </w:t>
      </w:r>
      <w:r>
        <w:t xml:space="preserve">The comparison is with general needs social housing (</w:t>
      </w:r>
      <w:r>
        <w:rPr>
          <w:i/>
          <w:iCs/>
        </w:rPr>
        <w:t xml:space="preserve">Chorley BC v IT</w:t>
      </w:r>
      <w:r>
        <w:t xml:space="preserve"> </w:t>
      </w:r>
      <w:r>
        <w:t xml:space="preserve">[2009] UKUT 107 (AAC), para 71). Routine tasks that any prudent landlord would carry out are not support on their own.</w:t>
      </w:r>
    </w:p>
    <w:p>
      <w:pPr>
        <w:pStyle w:val="Compact"/>
        <w:numPr>
          <w:ilvl w:val="0"/>
          <w:numId w:val="1003"/>
        </w:numPr>
      </w:pPr>
      <w:r>
        <w:rPr>
          <w:b/>
          <w:bCs/>
        </w:rPr>
        <w:t xml:space="preserve">Record potential needs.</w:t>
      </w:r>
      <w:r>
        <w:t xml:space="preserve"> </w:t>
      </w:r>
      <w:r>
        <w:t xml:space="preserve">Support that is available counts where there is a real prospect of it being needed more than very occasionally (</w:t>
      </w:r>
      <w:r>
        <w:rPr>
          <w:i/>
          <w:iCs/>
        </w:rPr>
        <w:t xml:space="preserve">DW v Oxford CC</w:t>
      </w:r>
      <w:r>
        <w:t xml:space="preserve"> </w:t>
      </w:r>
      <w:r>
        <w:t xml:space="preserve">[2012] UKUT 52 (AAC), para 79). Say why.</w:t>
      </w:r>
    </w:p>
    <w:p>
      <w:pPr>
        <w:pStyle w:val="Compact"/>
        <w:numPr>
          <w:ilvl w:val="0"/>
          <w:numId w:val="1003"/>
        </w:numPr>
      </w:pPr>
      <w:r>
        <w:rPr>
          <w:b/>
          <w:bCs/>
        </w:rPr>
        <w:t xml:space="preserve">Frequency, not hours.</w:t>
      </w:r>
      <w:r>
        <w:t xml:space="preserve"> </w:t>
      </w:r>
      <w:r>
        <w:t xml:space="preserve">Record how often support is given. There is no minimum number of hours (DWP guidance, para 151; Chapter 15, 15.3).</w:t>
      </w:r>
    </w:p>
    <w:p>
      <w:pPr>
        <w:pStyle w:val="Compact"/>
        <w:numPr>
          <w:ilvl w:val="0"/>
          <w:numId w:val="1003"/>
        </w:numPr>
      </w:pPr>
      <w:r>
        <w:rPr>
          <w:b/>
          <w:bCs/>
        </w:rPr>
        <w:t xml:space="preserve">Classify each action.</w:t>
      </w:r>
      <w:r>
        <w:t xml:space="preserve"> </w:t>
      </w:r>
      <w:r>
        <w:t xml:space="preserve">The Type column shows which actions are eligible. Care and personal support must be identified and its funding recorded, even where it is provided by another organisation (DWP guidance, paras 160 to 162).</w:t>
      </w:r>
    </w:p>
    <w:p>
      <w:pPr>
        <w:pStyle w:val="Compact"/>
        <w:numPr>
          <w:ilvl w:val="0"/>
          <w:numId w:val="1003"/>
        </w:numPr>
      </w:pPr>
      <w:r>
        <w:rPr>
          <w:b/>
          <w:bCs/>
        </w:rPr>
        <w:t xml:space="preserve">Do not overstate.</w:t>
      </w:r>
      <w:r>
        <w:t xml:space="preserve"> </w:t>
      </w:r>
      <w:r>
        <w:t xml:space="preserve">Plan only what will be delivered, and record what is delivered (Appendix 7). Support that exists only on paper is not support (R(H) 6/08).</w:t>
      </w:r>
    </w:p>
    <w:p>
      <w:pPr>
        <w:pStyle w:val="Compact"/>
        <w:numPr>
          <w:ilvl w:val="0"/>
          <w:numId w:val="1003"/>
        </w:numPr>
      </w:pPr>
      <w:r>
        <w:rPr>
          <w:b/>
          <w:bCs/>
        </w:rPr>
        <w:t xml:space="preserve">Involve the tenant.</w:t>
      </w:r>
      <w:r>
        <w:t xml:space="preserve"> </w:t>
      </w:r>
      <w:r>
        <w:t xml:space="preserve">Record their views and goals, and give them a copy.</w:t>
      </w:r>
    </w:p>
    <w:p>
      <w:pPr>
        <w:pStyle w:val="FirstParagraph"/>
      </w:pPr>
      <w:r>
        <w:rPr>
          <w:b/>
          <w:bCs/>
        </w:rPr>
        <w:t xml:space="preserve">For councils:</w:t>
      </w:r>
    </w:p>
    <w:p>
      <w:pPr>
        <w:pStyle w:val="Compact"/>
        <w:numPr>
          <w:ilvl w:val="0"/>
          <w:numId w:val="1004"/>
        </w:numPr>
      </w:pPr>
      <w:r>
        <w:t xml:space="preserve">Accept the provider's own form where it answers these questions, and do not ask for a new one in a prescribed form (Chapter 14, 14.2).</w:t>
      </w:r>
    </w:p>
    <w:p>
      <w:pPr>
        <w:pStyle w:val="Compact"/>
        <w:numPr>
          <w:ilvl w:val="0"/>
          <w:numId w:val="1004"/>
        </w:numPr>
      </w:pPr>
      <w:r>
        <w:t xml:space="preserve">Ask for the parts needed for the decision. Usually that is A1, A3, A4, B1 and B5. The detailed needs and risks in A2 can be summarised, with full detail only where a specific question requires it (Chapter 12, 12.6).</w:t>
      </w:r>
    </w:p>
    <w:p>
      <w:pPr>
        <w:pStyle w:val="Compact"/>
        <w:numPr>
          <w:ilvl w:val="0"/>
          <w:numId w:val="1004"/>
        </w:numPr>
      </w:pPr>
      <w:r>
        <w:t xml:space="preserve">Read the plan as a whole. A single weak entry does not show that support is minimal.</w:t>
      </w:r>
    </w:p>
    <w:bookmarkEnd w:id="22"/>
    <w:bookmarkStart w:id="26" w:name="part-d-worked-example"/>
    <w:p>
      <w:pPr>
        <w:pStyle w:val="Heading2"/>
        <w:pageBreakBefore/>
        <w:pBdr>
          <w:bottom w:val="single" w:sz="12" w:space="4" w:color="FF9202"/>
        </w:pBdr>
      </w:pPr>
      <w:r>
        <w:t xml:space="preserve">Part D: Worked example</w:t>
      </w:r>
    </w:p>
    <w:p>
      <w:pPr>
        <w:pStyle w:val="FirstParagraph"/>
      </w:pPr>
      <w:r>
        <w:t xml:space="preserve">This example is fictional. It is based on a common model: a five-bedroom shared house for single homeless adults, let by a not-for-profit provider, with staff who visit each weekday and 24-hour on-call cover. There are no staff on site overnight. In smaller providers, the housing officer and support worker roles are often combined in one housing support officer.</w:t>
      </w:r>
    </w:p>
    <w:bookmarkStart w:id="23" w:name="d1-summary-of-the-assessment"/>
    <w:p>
      <w:pPr>
        <w:pStyle w:val="Heading3"/>
      </w:pPr>
      <w:r>
        <w:t xml:space="preserve">D1. Summary of the assessment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Referral</w:t>
            </w:r>
          </w:p>
        </w:tc>
        <w:tc>
          <w:tcPr>
            <w:tcW w:type="dxa" w:w="5425"/>
          </w:tcPr>
          <w:p>
            <w:pPr>
              <w:pStyle w:val="Compact"/>
            </w:pPr>
            <w:r>
              <w:t xml:space="preserve">Council housing options team, from temporary accommodation, under the council's temporary accommodation to exempt accommodation strategy</w:t>
            </w:r>
          </w:p>
        </w:tc>
      </w:tr>
      <w:tr>
        <w:trPr>
          <w:cantSplit/>
        </w:trPr>
        <w:tc>
          <w:tcPr>
            <w:tcW w:type="dxa" w:w="3928"/>
            <w:shd w:val="clear" w:color="auto" w:fill="E6ECF4"/>
          </w:tcPr>
          <w:p>
            <w:pPr>
              <w:pStyle w:val="Compact"/>
            </w:pPr>
            <w:r>
              <w:t xml:space="preserve">Background</w:t>
            </w:r>
          </w:p>
        </w:tc>
        <w:tc>
          <w:tcPr>
            <w:tcW w:type="dxa" w:w="5425"/>
            <w:shd w:val="clear" w:color="auto" w:fill="E6ECF4"/>
          </w:tcPr>
          <w:p>
            <w:pPr>
              <w:pStyle w:val="Compact"/>
            </w:pPr>
            <w:r>
              <w:t xml:space="preserve">Aged 34. Two years of rough sleeping and sofa surfing. Previous tenancy ended with rent arrears and damage to the property</w:t>
            </w:r>
          </w:p>
        </w:tc>
      </w:tr>
      <w:tr>
        <w:trPr>
          <w:cantSplit/>
        </w:trPr>
        <w:tc>
          <w:tcPr>
            <w:tcW w:type="dxa" w:w="3928"/>
          </w:tcPr>
          <w:p>
            <w:pPr>
              <w:pStyle w:val="Compact"/>
            </w:pPr>
            <w:r>
              <w:t xml:space="preserve">Main needs and risks</w:t>
            </w:r>
          </w:p>
        </w:tc>
        <w:tc>
          <w:tcPr>
            <w:tcW w:type="dxa" w:w="5425"/>
          </w:tcPr>
          <w:p>
            <w:pPr>
              <w:pStyle w:val="Compact"/>
            </w:pPr>
            <w:r>
              <w:t xml:space="preserve">Alcohol use, with periods of relapse; anxiety that makes dealing with letters and officials difficult; risk of exploitation by former associates; poor upkeep of the home when drinking, including fire risk from smoking</w:t>
            </w:r>
          </w:p>
        </w:tc>
      </w:tr>
      <w:tr>
        <w:trPr>
          <w:cantSplit/>
        </w:trPr>
        <w:tc>
          <w:tcPr>
            <w:tcW w:type="dxa" w:w="3928"/>
            <w:shd w:val="clear" w:color="auto" w:fill="E6ECF4"/>
          </w:tcPr>
          <w:p>
            <w:pPr>
              <w:pStyle w:val="Compact"/>
            </w:pPr>
            <w:r>
              <w:t xml:space="preserve">Effect on the tenancy</w:t>
            </w:r>
          </w:p>
        </w:tc>
        <w:tc>
          <w:tcPr>
            <w:tcW w:type="dxa" w:w="5425"/>
            <w:shd w:val="clear" w:color="auto" w:fill="E6ECF4"/>
          </w:tcPr>
          <w:p>
            <w:pPr>
              <w:pStyle w:val="Compact"/>
            </w:pPr>
            <w:r>
              <w:t xml:space="preserve">Without support, there is a high risk of arrears, damage, disputes with other residents and the room being taken over by others, leading to eviction and a return to rough sleeping</w:t>
            </w:r>
          </w:p>
        </w:tc>
      </w:tr>
      <w:tr>
        <w:trPr>
          <w:cantSplit/>
        </w:trPr>
        <w:tc>
          <w:tcPr>
            <w:tcW w:type="dxa" w:w="3928"/>
          </w:tcPr>
          <w:p>
            <w:pPr>
              <w:pStyle w:val="Compact"/>
            </w:pPr>
            <w:r>
              <w:t xml:space="preserve">Potential needs</w:t>
            </w:r>
          </w:p>
        </w:tc>
        <w:tc>
          <w:tcPr>
            <w:tcW w:type="dxa" w:w="5425"/>
          </w:tcPr>
          <w:p>
            <w:pPr>
              <w:pStyle w:val="Compact"/>
            </w:pPr>
            <w:r>
              <w:t xml:space="preserve">Crisis support and intervention during relapse, which is likely to be needed more than very occasionally</w:t>
            </w:r>
          </w:p>
        </w:tc>
      </w:tr>
      <w:tr>
        <w:trPr>
          <w:cantSplit/>
        </w:trPr>
        <w:tc>
          <w:tcPr>
            <w:tcW w:type="dxa" w:w="3928"/>
            <w:shd w:val="clear" w:color="auto" w:fill="E6ECF4"/>
          </w:tcPr>
          <w:p>
            <w:pPr>
              <w:pStyle w:val="Compact"/>
            </w:pPr>
            <w:r>
              <w:t xml:space="preserve">Third-party indicators</w:t>
            </w:r>
          </w:p>
        </w:tc>
        <w:tc>
          <w:tcPr>
            <w:tcW w:type="dxa" w:w="5425"/>
            <w:shd w:val="clear" w:color="auto" w:fill="E6ECF4"/>
          </w:tcPr>
          <w:p>
            <w:pPr>
              <w:pStyle w:val="Compact"/>
            </w:pPr>
            <w:r>
              <w:t xml:space="preserve">Personalised housing plan from housing options; engaged with the local drug and alcohol service</w:t>
            </w:r>
          </w:p>
        </w:tc>
      </w:tr>
      <w:tr>
        <w:trPr>
          <w:cantSplit/>
        </w:trPr>
        <w:tc>
          <w:tcPr>
            <w:tcW w:type="dxa" w:w="3928"/>
          </w:tcPr>
          <w:p>
            <w:pPr>
              <w:pStyle w:val="Compact"/>
            </w:pPr>
            <w:r>
              <w:t xml:space="preserve">Assessor</w:t>
            </w:r>
          </w:p>
        </w:tc>
        <w:tc>
          <w:tcPr>
            <w:tcW w:type="dxa" w:w="5425"/>
          </w:tcPr>
          <w:p>
            <w:pPr>
              <w:pStyle w:val="Compact"/>
            </w:pPr>
            <w:r>
              <w:t xml:space="preserve">Senior support worker, trained in structured needs assessment, with five years' experience in homelessness services</w:t>
            </w:r>
          </w:p>
        </w:tc>
      </w:tr>
    </w:tbl>
    <w:bookmarkEnd w:id="23"/>
    <w:bookmarkStart w:id="24" w:name="d2-support-plan"/>
    <w:p>
      <w:pPr>
        <w:pStyle w:val="Heading3"/>
      </w:pPr>
      <w:r>
        <w:t xml:space="preserve">D2. Support plan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777"/>
        <w:gridCol w:w="3086"/>
        <w:gridCol w:w="841"/>
        <w:gridCol w:w="1870"/>
        <w:gridCol w:w="1777"/>
      </w:tblGrid>
      <w:tr>
        <w:trPr>
          <w:tblHeader w:val="on"/>
          <w:cantSplit/>
          <w:tblHeader w:val="true"/>
        </w:trPr>
        <w:tc>
          <w:tcPr>
            <w:tcW w:type="dxa" w:w="1777"/>
            <w:shd w:val="clear" w:color="auto" w:fill="002F6D"/>
          </w:tcPr>
          <w:p>
            <w:pPr>
              <w:pStyle w:val="Compact"/>
            </w:pPr>
            <w:r>
              <w:rPr>
                <w:b/>
                <w:color w:val="FFFFFF"/>
              </w:rPr>
              <w:t xml:space="preserve">Need</w:t>
            </w:r>
          </w:p>
        </w:tc>
        <w:tc>
          <w:tcPr>
            <w:tcW w:type="dxa" w:w="3086"/>
            <w:shd w:val="clear" w:color="auto" w:fill="002F6D"/>
          </w:tcPr>
          <w:p>
            <w:pPr>
              <w:pStyle w:val="Compact"/>
            </w:pPr>
            <w:r>
              <w:rPr>
                <w:b/>
                <w:color w:val="FFFFFF"/>
              </w:rPr>
              <w:t xml:space="preserve">What will be done</w:t>
            </w:r>
          </w:p>
        </w:tc>
        <w:tc>
          <w:tcPr>
            <w:tcW w:type="dxa" w:w="841"/>
            <w:shd w:val="clear" w:color="auto" w:fill="002F6D"/>
          </w:tcPr>
          <w:p>
            <w:pPr>
              <w:pStyle w:val="Compact"/>
            </w:pPr>
            <w:r>
              <w:rPr>
                <w:b/>
                <w:color w:val="FFFFFF"/>
              </w:rPr>
              <w:t xml:space="preserve">Type</w:t>
            </w:r>
          </w:p>
        </w:tc>
        <w:tc>
          <w:tcPr>
            <w:tcW w:type="dxa" w:w="1870"/>
            <w:shd w:val="clear" w:color="auto" w:fill="002F6D"/>
          </w:tcPr>
          <w:p>
            <w:pPr>
              <w:pStyle w:val="Compact"/>
            </w:pPr>
            <w:r>
              <w:rPr>
                <w:b/>
                <w:color w:val="FFFFFF"/>
              </w:rPr>
              <w:t xml:space="preserve">Who and how often</w:t>
            </w:r>
          </w:p>
        </w:tc>
        <w:tc>
          <w:tcPr>
            <w:tcW w:type="dxa" w:w="1777"/>
            <w:shd w:val="clear" w:color="auto" w:fill="002F6D"/>
          </w:tcPr>
          <w:p>
            <w:pPr>
              <w:pStyle w:val="Compact"/>
            </w:pPr>
            <w:r>
              <w:rPr>
                <w:b/>
                <w:color w:val="FFFFFF"/>
              </w:rPr>
              <w:t xml:space="preserve">Agreed outcome</w:t>
            </w:r>
          </w:p>
        </w:tc>
      </w:tr>
      <w:tr>
        <w:trPr>
          <w:cantSplit/>
        </w:trPr>
        <w:tc>
          <w:tcPr>
            <w:tcW w:type="dxa" w:w="1777"/>
          </w:tcPr>
          <w:p>
            <w:pPr>
              <w:pStyle w:val="Compact"/>
            </w:pPr>
            <w:r>
              <w:t xml:space="preserve">Arrears risk; anxiety about letters</w:t>
            </w:r>
          </w:p>
        </w:tc>
        <w:tc>
          <w:tcPr>
            <w:tcW w:type="dxa" w:w="3086"/>
          </w:tcPr>
          <w:p>
            <w:pPr>
              <w:pStyle w:val="Compact"/>
            </w:pPr>
            <w:r>
              <w:t xml:space="preserve">Tenancy sustainment session; check rent account; help with Housing Benefit and change reports</w:t>
            </w:r>
          </w:p>
        </w:tc>
        <w:tc>
          <w:tcPr>
            <w:tcW w:type="dxa" w:w="841"/>
          </w:tcPr>
          <w:p>
            <w:pPr>
              <w:pStyle w:val="Compact"/>
            </w:pPr>
            <w:r>
              <w:t xml:space="preserve">HRS</w:t>
            </w:r>
          </w:p>
        </w:tc>
        <w:tc>
          <w:tcPr>
            <w:tcW w:type="dxa" w:w="1870"/>
          </w:tcPr>
          <w:p>
            <w:pPr>
              <w:pStyle w:val="Compact"/>
            </w:pPr>
            <w:r>
              <w:t xml:space="preserve">Support worker, weekly</w:t>
            </w:r>
          </w:p>
        </w:tc>
        <w:tc>
          <w:tcPr>
            <w:tcW w:type="dxa" w:w="1777"/>
          </w:tcPr>
          <w:p>
            <w:pPr>
              <w:pStyle w:val="Compact"/>
            </w:pPr>
            <w:r>
              <w:t xml:space="preserve">Rent account up to date; no missed reviews</w:t>
            </w:r>
          </w:p>
        </w:tc>
      </w:tr>
      <w:tr>
        <w:trPr>
          <w:cantSplit/>
        </w:trPr>
        <w:tc>
          <w:tcPr>
            <w:tcW w:type="dxa" w:w="1777"/>
            <w:shd w:val="clear" w:color="auto" w:fill="E6ECF4"/>
          </w:tcPr>
          <w:p>
            <w:pPr>
              <w:pStyle w:val="Compact"/>
            </w:pPr>
            <w:r>
              <w:t xml:space="preserve">Poor upkeep of the room; fire risk</w:t>
            </w:r>
          </w:p>
        </w:tc>
        <w:tc>
          <w:tcPr>
            <w:tcW w:type="dxa" w:w="3086"/>
            <w:shd w:val="clear" w:color="auto" w:fill="E6ECF4"/>
          </w:tcPr>
          <w:p>
            <w:pPr>
              <w:pStyle w:val="Compact"/>
            </w:pPr>
            <w:r>
              <w:t xml:space="preserve">Room and fire safety check; agree a plan to remove hazards; repair damage linked to needs without recharge</w:t>
            </w:r>
          </w:p>
        </w:tc>
        <w:tc>
          <w:tcPr>
            <w:tcW w:type="dxa" w:w="841"/>
            <w:shd w:val="clear" w:color="auto" w:fill="E6ECF4"/>
          </w:tcPr>
          <w:p>
            <w:pPr>
              <w:pStyle w:val="Compact"/>
            </w:pPr>
            <w:r>
              <w:t xml:space="preserve">IHM</w:t>
            </w:r>
          </w:p>
        </w:tc>
        <w:tc>
          <w:tcPr>
            <w:tcW w:type="dxa" w:w="1870"/>
            <w:shd w:val="clear" w:color="auto" w:fill="E6ECF4"/>
          </w:tcPr>
          <w:p>
            <w:pPr>
              <w:pStyle w:val="Compact"/>
            </w:pPr>
            <w:r>
              <w:t xml:space="preserve">Housing officer, fortnightly, and as needed</w:t>
            </w:r>
          </w:p>
        </w:tc>
        <w:tc>
          <w:tcPr>
            <w:tcW w:type="dxa" w:w="1777"/>
            <w:shd w:val="clear" w:color="auto" w:fill="E6ECF4"/>
          </w:tcPr>
          <w:p>
            <w:pPr>
              <w:pStyle w:val="Compact"/>
            </w:pPr>
            <w:r>
              <w:t xml:space="preserve">Room safe and in good repair</w:t>
            </w:r>
          </w:p>
        </w:tc>
      </w:tr>
      <w:tr>
        <w:trPr>
          <w:cantSplit/>
        </w:trPr>
        <w:tc>
          <w:tcPr>
            <w:tcW w:type="dxa" w:w="1777"/>
          </w:tcPr>
          <w:p>
            <w:pPr>
              <w:pStyle w:val="Compact"/>
            </w:pPr>
            <w:r>
              <w:t xml:space="preserve">Anxiety about contractors</w:t>
            </w:r>
          </w:p>
        </w:tc>
        <w:tc>
          <w:tcPr>
            <w:tcW w:type="dxa" w:w="3086"/>
          </w:tcPr>
          <w:p>
            <w:pPr>
              <w:pStyle w:val="Compact"/>
            </w:pPr>
            <w:r>
              <w:t xml:space="preserve">Arrange repairs at agreed times, explain in advance and accompany contractors</w:t>
            </w:r>
          </w:p>
        </w:tc>
        <w:tc>
          <w:tcPr>
            <w:tcW w:type="dxa" w:w="841"/>
          </w:tcPr>
          <w:p>
            <w:pPr>
              <w:pStyle w:val="Compact"/>
            </w:pPr>
            <w:r>
              <w:t xml:space="preserve">IHM</w:t>
            </w:r>
          </w:p>
        </w:tc>
        <w:tc>
          <w:tcPr>
            <w:tcW w:type="dxa" w:w="1870"/>
          </w:tcPr>
          <w:p>
            <w:pPr>
              <w:pStyle w:val="Compact"/>
            </w:pPr>
            <w:r>
              <w:t xml:space="preserve">Housing officer, as needed</w:t>
            </w:r>
          </w:p>
        </w:tc>
        <w:tc>
          <w:tcPr>
            <w:tcW w:type="dxa" w:w="1777"/>
          </w:tcPr>
          <w:p>
            <w:pPr>
              <w:pStyle w:val="Compact"/>
            </w:pPr>
            <w:r>
              <w:t xml:space="preserve">Repairs completed without distress</w:t>
            </w:r>
          </w:p>
        </w:tc>
      </w:tr>
      <w:tr>
        <w:trPr>
          <w:cantSplit/>
        </w:trPr>
        <w:tc>
          <w:tcPr>
            <w:tcW w:type="dxa" w:w="1777"/>
            <w:shd w:val="clear" w:color="auto" w:fill="E6ECF4"/>
          </w:tcPr>
          <w:p>
            <w:pPr>
              <w:pStyle w:val="Compact"/>
            </w:pPr>
            <w:r>
              <w:t xml:space="preserve">Risk of exploitation; disputes in the house</w:t>
            </w:r>
          </w:p>
        </w:tc>
        <w:tc>
          <w:tcPr>
            <w:tcW w:type="dxa" w:w="3086"/>
            <w:shd w:val="clear" w:color="auto" w:fill="E6ECF4"/>
          </w:tcPr>
          <w:p>
            <w:pPr>
              <w:pStyle w:val="Compact"/>
            </w:pPr>
            <w:r>
              <w:t xml:space="preserve">Check the house and visitors on each visit; act early on concerns and disputes; safeguarding referral and police liaison where needed</w:t>
            </w:r>
          </w:p>
        </w:tc>
        <w:tc>
          <w:tcPr>
            <w:tcW w:type="dxa" w:w="841"/>
            <w:shd w:val="clear" w:color="auto" w:fill="E6ECF4"/>
          </w:tcPr>
          <w:p>
            <w:pPr>
              <w:pStyle w:val="Compact"/>
            </w:pPr>
            <w:r>
              <w:t xml:space="preserve">SUP</w:t>
            </w:r>
          </w:p>
        </w:tc>
        <w:tc>
          <w:tcPr>
            <w:tcW w:type="dxa" w:w="1870"/>
            <w:shd w:val="clear" w:color="auto" w:fill="E6ECF4"/>
          </w:tcPr>
          <w:p>
            <w:pPr>
              <w:pStyle w:val="Compact"/>
            </w:pPr>
            <w:r>
              <w:t xml:space="preserve">Scheme staff, each weekday, and as needed</w:t>
            </w:r>
          </w:p>
        </w:tc>
        <w:tc>
          <w:tcPr>
            <w:tcW w:type="dxa" w:w="1777"/>
            <w:shd w:val="clear" w:color="auto" w:fill="E6ECF4"/>
          </w:tcPr>
          <w:p>
            <w:pPr>
              <w:pStyle w:val="Compact"/>
            </w:pPr>
            <w:r>
              <w:t xml:space="preserve">No takeover of the room; tenant feels safe</w:t>
            </w:r>
          </w:p>
        </w:tc>
      </w:tr>
      <w:tr>
        <w:trPr>
          <w:cantSplit/>
        </w:trPr>
        <w:tc>
          <w:tcPr>
            <w:tcW w:type="dxa" w:w="1777"/>
          </w:tcPr>
          <w:p>
            <w:pPr>
              <w:pStyle w:val="Compact"/>
            </w:pPr>
            <w:r>
              <w:t xml:space="preserve">Relapse and crisis</w:t>
            </w:r>
          </w:p>
        </w:tc>
        <w:tc>
          <w:tcPr>
            <w:tcW w:type="dxa" w:w="3086"/>
          </w:tcPr>
          <w:p>
            <w:pPr>
              <w:pStyle w:val="Compact"/>
            </w:pPr>
            <w:r>
              <w:t xml:space="preserve">On-call cover; welfare check after any incident; agree a relapse plan</w:t>
            </w:r>
          </w:p>
        </w:tc>
        <w:tc>
          <w:tcPr>
            <w:tcW w:type="dxa" w:w="841"/>
          </w:tcPr>
          <w:p>
            <w:pPr>
              <w:pStyle w:val="Compact"/>
            </w:pPr>
            <w:r>
              <w:t xml:space="preserve">SUP</w:t>
            </w:r>
          </w:p>
        </w:tc>
        <w:tc>
          <w:tcPr>
            <w:tcW w:type="dxa" w:w="1870"/>
          </w:tcPr>
          <w:p>
            <w:pPr>
              <w:pStyle w:val="Compact"/>
            </w:pPr>
            <w:r>
              <w:t xml:space="preserve">On-call staff, 24 hours; support worker after incidents</w:t>
            </w:r>
          </w:p>
        </w:tc>
        <w:tc>
          <w:tcPr>
            <w:tcW w:type="dxa" w:w="1777"/>
          </w:tcPr>
          <w:p>
            <w:pPr>
              <w:pStyle w:val="Compact"/>
            </w:pPr>
            <w:r>
              <w:t xml:space="preserve">Crises managed without loss of tenancy</w:t>
            </w:r>
          </w:p>
        </w:tc>
      </w:tr>
      <w:tr>
        <w:trPr>
          <w:cantSplit/>
        </w:trPr>
        <w:tc>
          <w:tcPr>
            <w:tcW w:type="dxa" w:w="1777"/>
            <w:shd w:val="clear" w:color="auto" w:fill="E6ECF4"/>
          </w:tcPr>
          <w:p>
            <w:pPr>
              <w:pStyle w:val="Compact"/>
            </w:pPr>
            <w:r>
              <w:t xml:space="preserve">Low confidence; daily living skills</w:t>
            </w:r>
          </w:p>
        </w:tc>
        <w:tc>
          <w:tcPr>
            <w:tcW w:type="dxa" w:w="3086"/>
            <w:shd w:val="clear" w:color="auto" w:fill="E6ECF4"/>
          </w:tcPr>
          <w:p>
            <w:pPr>
              <w:pStyle w:val="Compact"/>
            </w:pPr>
            <w:r>
              <w:t xml:space="preserve">Emotional support and help with shopping and cooking</w:t>
            </w:r>
          </w:p>
        </w:tc>
        <w:tc>
          <w:tcPr>
            <w:tcW w:type="dxa" w:w="841"/>
            <w:shd w:val="clear" w:color="auto" w:fill="E6ECF4"/>
          </w:tcPr>
          <w:p>
            <w:pPr>
              <w:pStyle w:val="Compact"/>
            </w:pPr>
            <w:r>
              <w:t xml:space="preserve">CPS</w:t>
            </w:r>
          </w:p>
        </w:tc>
        <w:tc>
          <w:tcPr>
            <w:tcW w:type="dxa" w:w="1870"/>
            <w:shd w:val="clear" w:color="auto" w:fill="E6ECF4"/>
          </w:tcPr>
          <w:p>
            <w:pPr>
              <w:pStyle w:val="Compact"/>
            </w:pPr>
            <w:r>
              <w:t xml:space="preserve">Support worker, about 30 minutes in the weekly session</w:t>
            </w:r>
          </w:p>
        </w:tc>
        <w:tc>
          <w:tcPr>
            <w:tcW w:type="dxa" w:w="1777"/>
            <w:shd w:val="clear" w:color="auto" w:fill="E6ECF4"/>
          </w:tcPr>
          <w:p>
            <w:pPr>
              <w:pStyle w:val="Compact"/>
            </w:pPr>
            <w:r>
              <w:t xml:space="preserve">Cooking for self; more confident</w:t>
            </w:r>
          </w:p>
        </w:tc>
      </w:tr>
      <w:tr>
        <w:trPr>
          <w:cantSplit/>
        </w:trPr>
        <w:tc>
          <w:tcPr>
            <w:tcW w:type="dxa" w:w="1777"/>
          </w:tcPr>
          <w:p>
            <w:pPr>
              <w:pStyle w:val="Compact"/>
            </w:pPr>
            <w:r>
              <w:t xml:space="preserve">Alcohol use</w:t>
            </w:r>
          </w:p>
        </w:tc>
        <w:tc>
          <w:tcPr>
            <w:tcW w:type="dxa" w:w="3086"/>
          </w:tcPr>
          <w:p>
            <w:pPr>
              <w:pStyle w:val="Compact"/>
            </w:pPr>
            <w:r>
              <w:t xml:space="preserve">Treatment and recovery key work</w:t>
            </w:r>
          </w:p>
        </w:tc>
        <w:tc>
          <w:tcPr>
            <w:tcW w:type="dxa" w:w="841"/>
          </w:tcPr>
          <w:p>
            <w:pPr>
              <w:pStyle w:val="Compact"/>
            </w:pPr>
            <w:r>
              <w:t xml:space="preserve">CPS</w:t>
            </w:r>
          </w:p>
        </w:tc>
        <w:tc>
          <w:tcPr>
            <w:tcW w:type="dxa" w:w="1870"/>
          </w:tcPr>
          <w:p>
            <w:pPr>
              <w:pStyle w:val="Compact"/>
            </w:pPr>
            <w:r>
              <w:t xml:space="preserve">Drug and alcohol service, weekly; not provided or charged by the landlord</w:t>
            </w:r>
          </w:p>
        </w:tc>
        <w:tc>
          <w:tcPr>
            <w:tcW w:type="dxa" w:w="1777"/>
          </w:tcPr>
          <w:p>
            <w:pPr>
              <w:pStyle w:val="Compact"/>
            </w:pPr>
            <w:r>
              <w:t xml:space="preserve">Treatment maintained</w:t>
            </w:r>
          </w:p>
        </w:tc>
      </w:tr>
      <w:tr>
        <w:trPr>
          <w:cantSplit/>
        </w:trPr>
        <w:tc>
          <w:tcPr>
            <w:tcW w:type="dxa" w:w="1777"/>
            <w:shd w:val="clear" w:color="auto" w:fill="E6ECF4"/>
          </w:tcPr>
          <w:p>
            <w:pPr>
              <w:pStyle w:val="Compact"/>
            </w:pPr>
            <w:r>
              <w:t xml:space="preserve">Move-on</w:t>
            </w:r>
          </w:p>
        </w:tc>
        <w:tc>
          <w:tcPr>
            <w:tcW w:type="dxa" w:w="3086"/>
            <w:shd w:val="clear" w:color="auto" w:fill="E6ECF4"/>
          </w:tcPr>
          <w:p>
            <w:pPr>
              <w:pStyle w:val="Compact"/>
            </w:pPr>
            <w:r>
              <w:t xml:space="preserve">Plan for a general needs tenancy after about 12 months</w:t>
            </w:r>
          </w:p>
        </w:tc>
        <w:tc>
          <w:tcPr>
            <w:tcW w:type="dxa" w:w="841"/>
            <w:shd w:val="clear" w:color="auto" w:fill="E6ECF4"/>
          </w:tcPr>
          <w:p>
            <w:pPr>
              <w:pStyle w:val="Compact"/>
            </w:pPr>
            <w:r>
              <w:t xml:space="preserve">HRS</w:t>
            </w:r>
          </w:p>
        </w:tc>
        <w:tc>
          <w:tcPr>
            <w:tcW w:type="dxa" w:w="1870"/>
            <w:shd w:val="clear" w:color="auto" w:fill="E6ECF4"/>
          </w:tcPr>
          <w:p>
            <w:pPr>
              <w:pStyle w:val="Compact"/>
            </w:pPr>
            <w:r>
              <w:t xml:space="preserve">Support worker, at reviews</w:t>
            </w:r>
          </w:p>
        </w:tc>
        <w:tc>
          <w:tcPr>
            <w:tcW w:type="dxa" w:w="1777"/>
            <w:shd w:val="clear" w:color="auto" w:fill="E6ECF4"/>
          </w:tcPr>
          <w:p>
            <w:pPr>
              <w:pStyle w:val="Compact"/>
            </w:pPr>
            <w:r>
              <w:t xml:space="preserve">Ready for move-on with floating support</w:t>
            </w:r>
          </w:p>
        </w:tc>
      </w:tr>
    </w:tbl>
    <w:p>
      <w:pPr>
        <w:pStyle w:val="BodyText"/>
      </w:pPr>
      <w:r>
        <w:rPr>
          <w:b/>
          <w:bCs/>
        </w:rPr>
        <w:t xml:space="preserve">How the example works for Housing Benefit.</w:t>
      </w:r>
    </w:p>
    <w:p>
      <w:pPr>
        <w:pStyle w:val="Compact"/>
        <w:numPr>
          <w:ilvl w:val="0"/>
          <w:numId w:val="1005"/>
        </w:numPr>
      </w:pPr>
      <w:r>
        <w:rPr>
          <w:b/>
          <w:bCs/>
        </w:rPr>
        <w:t xml:space="preserve">Exempt status.</w:t>
      </w:r>
      <w:r>
        <w:t xml:space="preserve"> </w:t>
      </w:r>
      <w:r>
        <w:t xml:space="preserve">The housing-related support, intensive housing management and supervision together are more than minimal and are likely to make a real difference to the tenant's ability to keep the tenancy (</w:t>
      </w:r>
      <w:r>
        <w:rPr>
          <w:i/>
          <w:iCs/>
        </w:rPr>
        <w:t xml:space="preserve">Bristol CC v AW</w:t>
      </w:r>
      <w:r>
        <w:t xml:space="preserve"> </w:t>
      </w:r>
      <w:r>
        <w:t xml:space="preserve">[2009] UKUT 109 (AAC), para 31). The scheme does not rely on the care and personal support to qualify.</w:t>
      </w:r>
    </w:p>
    <w:p>
      <w:pPr>
        <w:pStyle w:val="Compact"/>
        <w:numPr>
          <w:ilvl w:val="0"/>
          <w:numId w:val="1005"/>
        </w:numPr>
      </w:pPr>
      <w:r>
        <w:rPr>
          <w:b/>
          <w:bCs/>
        </w:rPr>
        <w:t xml:space="preserve">Eligible charges.</w:t>
      </w:r>
      <w:r>
        <w:t xml:space="preserve"> </w:t>
      </w:r>
      <w:r>
        <w:t xml:space="preserve">The housing-related support, intensive housing management and supervision are eligible (Chapter 9).</w:t>
      </w:r>
    </w:p>
    <w:p>
      <w:pPr>
        <w:pStyle w:val="Compact"/>
        <w:numPr>
          <w:ilvl w:val="0"/>
          <w:numId w:val="1005"/>
        </w:numPr>
      </w:pPr>
      <w:r>
        <w:rPr>
          <w:b/>
          <w:bCs/>
        </w:rPr>
        <w:t xml:space="preserve">Ineligible support.</w:t>
      </w:r>
      <w:r>
        <w:t xml:space="preserve"> </w:t>
      </w:r>
      <w:r>
        <w:t xml:space="preserve">The emotional support and living skills help is personal support and is not eligible (Schedule 1, para 1(f)). Because the same support worker delivers it, the scheme's build-up apportions that part of the worker's time out of the service charge (Chapter 9, 9.3), and the plan records how it is funded. The alcohol treatment is provided and funded by another service, so no deduction arises for it (Chapter 3, 3.4.1).</w:t>
      </w:r>
    </w:p>
    <w:p>
      <w:pPr>
        <w:pStyle w:val="Compact"/>
        <w:numPr>
          <w:ilvl w:val="0"/>
          <w:numId w:val="1005"/>
        </w:numPr>
      </w:pPr>
      <w:r>
        <w:rPr>
          <w:b/>
          <w:bCs/>
        </w:rPr>
        <w:t xml:space="preserve">What the example leaves out.</w:t>
      </w:r>
      <w:r>
        <w:t xml:space="preserve"> </w:t>
      </w:r>
      <w:r>
        <w:t xml:space="preserve">Cleaning the tenant's own room would be an ineligible day-to-day living expense (Schedule 1, para 1(a)), so the plan deals with the room's upkeep through safety checks, hazard plans and repairs, not cleaning.</w:t>
      </w:r>
    </w:p>
    <w:bookmarkEnd w:id="24"/>
    <w:bookmarkStart w:id="25" w:name="X9262bf06a592f50c6065810c26d06c615e4e27c"/>
    <w:p>
      <w:pPr>
        <w:pStyle w:val="Heading3"/>
      </w:pPr>
      <w:r>
        <w:t xml:space="preserve">D3. How the plan changes for other schemes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619"/>
        <w:gridCol w:w="6734"/>
      </w:tblGrid>
      <w:tr>
        <w:trPr>
          <w:tblHeader w:val="on"/>
          <w:cantSplit/>
          <w:tblHeader w:val="true"/>
        </w:trPr>
        <w:tc>
          <w:tcPr>
            <w:tcW w:type="dxa" w:w="2619"/>
            <w:shd w:val="clear" w:color="auto" w:fill="002F6D"/>
          </w:tcPr>
          <w:p>
            <w:pPr>
              <w:pStyle w:val="Compact"/>
            </w:pPr>
            <w:r>
              <w:rPr>
                <w:b/>
                <w:color w:val="FFFFFF"/>
              </w:rPr>
              <w:t xml:space="preserve">Scheme type</w:t>
            </w:r>
          </w:p>
        </w:tc>
        <w:tc>
          <w:tcPr>
            <w:tcW w:type="dxa" w:w="6734"/>
            <w:shd w:val="clear" w:color="auto" w:fill="002F6D"/>
          </w:tcPr>
          <w:p>
            <w:pPr>
              <w:pStyle w:val="Compact"/>
            </w:pPr>
            <w:r>
              <w:rPr>
                <w:b/>
                <w:color w:val="FFFFFF"/>
              </w:rPr>
              <w:t xml:space="preserve">What usually changes</w:t>
            </w:r>
          </w:p>
        </w:tc>
      </w:tr>
      <w:tr>
        <w:trPr>
          <w:cantSplit/>
        </w:trPr>
        <w:tc>
          <w:tcPr>
            <w:tcW w:type="dxa" w:w="2619"/>
          </w:tcPr>
          <w:p>
            <w:pPr>
              <w:pStyle w:val="Compact"/>
            </w:pPr>
            <w:r>
              <w:t xml:space="preserve">Dispersed self-contained flats</w:t>
            </w:r>
          </w:p>
        </w:tc>
        <w:tc>
          <w:tcPr>
            <w:tcW w:type="dxa" w:w="6734"/>
          </w:tcPr>
          <w:p>
            <w:pPr>
              <w:pStyle w:val="Compact"/>
            </w:pPr>
            <w:r>
              <w:t xml:space="preserve">No shared-house checks; supervision rests more on visits, welfare checks and on-call cover. Dispersed accommodation can be exempt (Chapter 3, 3.4.2)</w:t>
            </w:r>
          </w:p>
        </w:tc>
      </w:tr>
      <w:tr>
        <w:trPr>
          <w:cantSplit/>
        </w:trPr>
        <w:tc>
          <w:tcPr>
            <w:tcW w:type="dxa" w:w="2619"/>
            <w:shd w:val="clear" w:color="auto" w:fill="E6ECF4"/>
          </w:tcPr>
          <w:p>
            <w:pPr>
              <w:pStyle w:val="Compact"/>
            </w:pPr>
            <w:r>
              <w:t xml:space="preserve">Prison leavers</w:t>
            </w:r>
          </w:p>
        </w:tc>
        <w:tc>
          <w:tcPr>
            <w:tcW w:type="dxa" w:w="6734"/>
            <w:shd w:val="clear" w:color="auto" w:fill="E6ECF4"/>
          </w:tcPr>
          <w:p>
            <w:pPr>
              <w:pStyle w:val="Compact"/>
            </w:pPr>
            <w:r>
              <w:t xml:space="preserve">Licence conditions and risk management plans shape the plan; liaison with probation and, where relevant, MAPPA arrangements</w:t>
            </w:r>
          </w:p>
        </w:tc>
      </w:tr>
      <w:tr>
        <w:trPr>
          <w:cantSplit/>
        </w:trPr>
        <w:tc>
          <w:tcPr>
            <w:tcW w:type="dxa" w:w="2619"/>
          </w:tcPr>
          <w:p>
            <w:pPr>
              <w:pStyle w:val="Compact"/>
            </w:pPr>
            <w:r>
              <w:t xml:space="preserve">Young people aged 18 to 25</w:t>
            </w:r>
          </w:p>
        </w:tc>
        <w:tc>
          <w:tcPr>
            <w:tcW w:type="dxa" w:w="6734"/>
          </w:tcPr>
          <w:p>
            <w:pPr>
              <w:pStyle w:val="Compact"/>
            </w:pPr>
            <w:r>
              <w:t xml:space="preserve">More time on living skills, which is personal support and must be apportioned and funded. Accommodation for 16 and 17 year olds is regulated by Ofsted (Chapter 22, 22.3)</w:t>
            </w:r>
          </w:p>
        </w:tc>
      </w:tr>
      <w:tr>
        <w:trPr>
          <w:cantSplit/>
        </w:trPr>
        <w:tc>
          <w:tcPr>
            <w:tcW w:type="dxa" w:w="2619"/>
            <w:shd w:val="clear" w:color="auto" w:fill="E6ECF4"/>
          </w:tcPr>
          <w:p>
            <w:pPr>
              <w:pStyle w:val="Compact"/>
            </w:pPr>
            <w:r>
              <w:t xml:space="preserve">Women at risk of domestic abuse</w:t>
            </w:r>
          </w:p>
        </w:tc>
        <w:tc>
          <w:tcPr>
            <w:tcW w:type="dxa" w:w="6734"/>
            <w:shd w:val="clear" w:color="auto" w:fill="E6ECF4"/>
          </w:tcPr>
          <w:p>
            <w:pPr>
              <w:pStyle w:val="Compact"/>
            </w:pPr>
            <w:r>
              <w:t xml:space="preserve">Safety planning, controlled access and liaison with domestic abuse services weigh more heavily in supervision</w:t>
            </w:r>
          </w:p>
        </w:tc>
      </w:tr>
      <w:tr>
        <w:trPr>
          <w:cantSplit/>
        </w:trPr>
        <w:tc>
          <w:tcPr>
            <w:tcW w:type="dxa" w:w="2619"/>
          </w:tcPr>
          <w:p>
            <w:pPr>
              <w:pStyle w:val="Compact"/>
            </w:pPr>
            <w:r>
              <w:t xml:space="preserve">Mental health step-down</w:t>
            </w:r>
          </w:p>
        </w:tc>
        <w:tc>
          <w:tcPr>
            <w:tcW w:type="dxa" w:w="6734"/>
          </w:tcPr>
          <w:p>
            <w:pPr>
              <w:pStyle w:val="Compact"/>
            </w:pPr>
            <w:r>
              <w:t xml:space="preserve">Care elements are often commissioned by the NHS or the council and recorded as CPS, with the landlord's housing-related support and supervision alongside</w:t>
            </w:r>
          </w:p>
        </w:tc>
      </w:tr>
    </w:tbl>
    <w:bookmarkEnd w:id="25"/>
    <w:bookmarkEnd w:id="26"/>
    <w:bookmarkEnd w:id="27"/>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6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2026-10-13T15:41:06Z</dcterms:created>
  <dcterms:modified xsi:type="dcterms:W3CDTF">2026-10-13T15:41:06Z</dcterms:modified>
</cp:coreProperties>
</file>

<file path=docProps/custom.xml><?xml version="1.0" encoding="utf-8"?>
<Properties xmlns="http://schemas.openxmlformats.org/officeDocument/2006/custom-properties" xmlns:vt="http://schemas.openxmlformats.org/officeDocument/2006/docPropsVTypes"/>
</file>