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appendix-7-model-activity-log"/>
    <w:p>
      <w:r>
        <w:drawing>
          <wp:inline>
            <wp:extent cx="2160000" cy="680985"/>
            <wp:docPr id="1" name="Picture 1"/>
            <wp:cNvGraphicFramePr>
              <a:graphicFrameLocks noChangeAspect="1"/>
            </wp:cNvGraphicFramePr>
            <a:graphic>
              <a:graphicData uri="http://schemas.openxmlformats.org/drawingml/2006/picture">
                <pic:pic>
                  <pic:nvPicPr>
                    <pic:cNvPr id="0" name="shp_logo.png"/>
                    <pic:cNvPicPr/>
                  </pic:nvPicPr>
                  <pic:blipFill>
                    <a:blip r:embed="rId11"/>
                    <a:stretch>
                      <a:fillRect/>
                    </a:stretch>
                  </pic:blipFill>
                  <pic:spPr>
                    <a:xfrm>
                      <a:off x="0" y="0"/>
                      <a:ext cx="2160000" cy="680985"/>
                    </a:xfrm>
                    <a:prstGeom prst="rect"/>
                  </pic:spPr>
                </pic:pic>
              </a:graphicData>
            </a:graphic>
          </wp:inline>
        </w:drawing>
      </w:r>
    </w:p>
    <w:p>
      <w:pPr>
        <w:spacing w:after="600"/>
      </w:pPr>
      <w:r>
        <w:rPr>
          <w:b/>
          <w:color w:val="FF9202"/>
          <w:sz w:val="22"/>
        </w:rPr>
        <w:t>Supported Housing Expertise</w:t>
      </w:r>
    </w:p>
    <w:p>
      <w:pPr>
        <w:pStyle w:val="Heading1"/>
      </w:pPr>
      <w:r>
        <w:t xml:space="preserve">Appendix 7: Model Activity Log</w:t>
      </w:r>
    </w:p>
    <w:p>
      <w:pPr>
        <w:pStyle w:val="FirstParagraph"/>
      </w:pPr>
      <w:r>
        <w:t xml:space="preserve">A template from</w:t>
      </w:r>
      <w:r>
        <w:t xml:space="preserve"> </w:t>
      </w:r>
      <w:r>
        <w:rPr>
          <w:i/>
          <w:iCs/>
        </w:rPr>
        <w:t xml:space="preserve">Managing Housing Benefit Claims in Supported Housing</w:t>
      </w:r>
      <w:r>
        <w:t xml:space="preserve">, Supported Housing People Ltd, Version 1.0, October 2026.</w:t>
      </w:r>
    </w:p>
    <w:p>
      <w:pPr>
        <w:pStyle w:val="BlockText"/>
        <w:pBdr>
          <w:left w:val="single" w:sz="24" w:space="8" w:color="FF9202"/>
        </w:pBdr>
        <w:shd w:val="clear" w:color="auto" w:fill="EEF2F8"/>
        <w:spacing w:after="0" w:before="0"/>
        <w:ind w:left="227" w:right="113"/>
      </w:pPr>
      <w:r>
        <w:rPr>
          <w:b/>
          <w:bCs/>
        </w:rPr>
        <w:t xml:space="preserve">Free to adapt.</w:t>
      </w:r>
      <w:r>
        <w:t xml:space="preserve"> </w:t>
      </w:r>
      <w:r>
        <w:t xml:space="preserve">You can change this template to suit your organisation, add your own logo, remove the SHP branding and share your version, including commercially. Please credit SHP, say that you have changed it, and do not suggest that SHP has approved your version.</w:t>
      </w:r>
    </w:p>
    <w:p>
      <w:pPr>
        <w:pStyle w:val="BlockText"/>
        <w:pBdr>
          <w:left w:val="single" w:sz="24" w:space="8" w:color="FF9202"/>
        </w:pBdr>
        <w:shd w:val="clear" w:color="auto" w:fill="EEF2F8"/>
        <w:spacing w:after="0" w:before="0"/>
        <w:ind w:left="227" w:right="113"/>
      </w:pPr>
      <w:r>
        <w:rPr>
          <w:b/>
          <w:bCs/>
        </w:rPr>
        <w:t xml:space="preserve">Credit:</w:t>
      </w:r>
      <w:r>
        <w:t xml:space="preserve"> </w:t>
      </w:r>
      <w:r>
        <w:t xml:space="preserve">Adapted from</w:t>
      </w:r>
      <w:r>
        <w:t xml:space="preserve"> </w:t>
      </w:r>
      <w:r>
        <w:rPr>
          <w:i/>
          <w:iCs/>
        </w:rPr>
        <w:t xml:space="preserve">Managing Housing Benefit Claims in Supported Housing</w:t>
      </w:r>
      <w:r>
        <w:t xml:space="preserve">, Appendix 7, Supported Housing People Ltd, October 2026. Licensed under</w:t>
      </w:r>
      <w:r>
        <w:t xml:space="preserve"> </w:t>
      </w:r>
      <w:hyperlink r:id="rId9">
        <w:r>
          <w:rPr>
            <w:rStyle w:val="Hyperlink"/>
          </w:rPr>
          <w:t xml:space="preserve">CC BY 4.0</w:t>
        </w:r>
      </w:hyperlink>
      <w:r>
        <w:t xml:space="preserve">. Changes have been made.</w:t>
      </w:r>
    </w:p>
    <w:p>
      <w:pPr>
        <w:pStyle w:val="BlockText"/>
        <w:pBdr>
          <w:left w:val="single" w:sz="24" w:space="8" w:color="FF9202"/>
        </w:pBdr>
        <w:shd w:val="clear" w:color="auto" w:fill="EEF2F8"/>
        <w:spacing w:after="0" w:before="0"/>
        <w:ind w:left="227" w:right="113"/>
      </w:pPr>
      <w:r>
        <w:t xml:space="preserve">Chapter references are to the manual, which is free to read at</w:t>
      </w:r>
      <w:r>
        <w:t xml:space="preserve"> </w:t>
      </w:r>
      <w:hyperlink r:id="rId10">
        <w:r>
          <w:rPr>
            <w:rStyle w:val="Hyperlink"/>
          </w:rPr>
          <w:t xml:space="preserve">supportedhousing.blog/manual</w:t>
        </w:r>
      </w:hyperlink>
      <w:r>
        <w:t xml:space="preserve">.</w:t>
      </w:r>
    </w:p>
    <w:p>
      <w:pPr>
        <w:pStyle w:val="FirstParagraph"/>
      </w:pPr>
      <w:r>
        <w:t xml:space="preserve">This appendix is a model for recording the care, support or supervision, intensive housing management and maintenance that a scheme actually delivers. It puts Chapter 14 (14.6) and Chapter 15 into practice, and follows on from the support plan in Appendix 6. It has five parts:</w:t>
      </w:r>
    </w:p>
    <w:p>
      <w:pPr>
        <w:pStyle w:val="Compact"/>
        <w:numPr>
          <w:ilvl w:val="0"/>
          <w:numId w:val="1001"/>
        </w:numPr>
      </w:pPr>
      <w:r>
        <w:rPr>
          <w:b/>
          <w:bCs/>
        </w:rPr>
        <w:t xml:space="preserve">Part A:</w:t>
      </w:r>
      <w:r>
        <w:t xml:space="preserve"> </w:t>
      </w:r>
      <w:r>
        <w:t xml:space="preserve">tenant activity log</w:t>
      </w:r>
    </w:p>
    <w:p>
      <w:pPr>
        <w:pStyle w:val="Compact"/>
        <w:numPr>
          <w:ilvl w:val="0"/>
          <w:numId w:val="1001"/>
        </w:numPr>
      </w:pPr>
      <w:r>
        <w:rPr>
          <w:b/>
          <w:bCs/>
        </w:rPr>
        <w:t xml:space="preserve">Part B:</w:t>
      </w:r>
      <w:r>
        <w:t xml:space="preserve"> </w:t>
      </w:r>
      <w:r>
        <w:t xml:space="preserve">scheme logs for repairs, call-outs and checks</w:t>
      </w:r>
    </w:p>
    <w:p>
      <w:pPr>
        <w:pStyle w:val="Compact"/>
        <w:numPr>
          <w:ilvl w:val="0"/>
          <w:numId w:val="1001"/>
        </w:numPr>
      </w:pPr>
      <w:r>
        <w:rPr>
          <w:b/>
          <w:bCs/>
        </w:rPr>
        <w:t xml:space="preserve">Part C:</w:t>
      </w:r>
      <w:r>
        <w:t xml:space="preserve"> </w:t>
      </w:r>
      <w:r>
        <w:t xml:space="preserve">summary activity record, which is the document usually sent to the council</w:t>
      </w:r>
    </w:p>
    <w:p>
      <w:pPr>
        <w:pStyle w:val="Compact"/>
        <w:numPr>
          <w:ilvl w:val="0"/>
          <w:numId w:val="1001"/>
        </w:numPr>
      </w:pPr>
      <w:r>
        <w:rPr>
          <w:b/>
          <w:bCs/>
        </w:rPr>
        <w:t xml:space="preserve">Part D:</w:t>
      </w:r>
      <w:r>
        <w:t xml:space="preserve"> </w:t>
      </w:r>
      <w:r>
        <w:t xml:space="preserve">notes on keeping and using the logs</w:t>
      </w:r>
    </w:p>
    <w:p>
      <w:pPr>
        <w:pStyle w:val="Compact"/>
        <w:numPr>
          <w:ilvl w:val="0"/>
          <w:numId w:val="1001"/>
        </w:numPr>
      </w:pPr>
      <w:r>
        <w:rPr>
          <w:b/>
          <w:bCs/>
        </w:rPr>
        <w:t xml:space="preserve">Part E:</w:t>
      </w:r>
      <w:r>
        <w:t xml:space="preserve"> </w:t>
      </w:r>
      <w:r>
        <w:t xml:space="preserve">a worked example, continuing the example in Appendix 6</w:t>
      </w:r>
    </w:p>
    <w:p>
      <w:pPr>
        <w:pStyle w:val="FirstParagraph"/>
      </w:pPr>
      <w:r>
        <w:rPr>
          <w:b/>
          <w:bCs/>
        </w:rPr>
        <w:t xml:space="preserve">Why records matter.</w:t>
      </w:r>
      <w:r>
        <w:t xml:space="preserve"> </w:t>
      </w:r>
      <w:r>
        <w:t xml:space="preserve">Care, support or supervision must actually be provided; support that exists only on paper is not support (R(H) 6/08). Whether a landlord's service is more than minimal is difficult to judge "without having close regard to what the landlord has actually done" (</w:t>
      </w:r>
      <w:r>
        <w:rPr>
          <w:i/>
          <w:iCs/>
        </w:rPr>
        <w:t xml:space="preserve">DW v Oxford CC</w:t>
      </w:r>
      <w:r>
        <w:t xml:space="preserve"> </w:t>
      </w:r>
      <w:r>
        <w:t xml:space="preserve">[2012] UKUT 52 (AAC), para 79). Good records are the provider's best evidence, and the council's best assurance.</w:t>
      </w:r>
    </w:p>
    <w:p>
      <w:pPr>
        <w:pStyle w:val="BodyText"/>
      </w:pPr>
      <w:r>
        <w:rPr>
          <w:b/>
          <w:bCs/>
        </w:rPr>
        <w:t xml:space="preserve">Status of the model.</w:t>
      </w:r>
      <w:r>
        <w:t xml:space="preserve"> </w:t>
      </w:r>
      <w:r>
        <w:t xml:space="preserve">No particular format is required by law. Most providers already record this information in a case management system. The model shows what a good record contains; providers can use their own system where it captures the same information.</w:t>
      </w:r>
    </w:p>
    <w:p>
      <w:pPr>
        <w:pStyle w:val="BodyText"/>
      </w:pPr>
      <w:r>
        <w:rPr>
          <w:b/>
          <w:bCs/>
        </w:rPr>
        <w:t xml:space="preserve">Three principles.</w:t>
      </w:r>
    </w:p>
    <w:p>
      <w:pPr>
        <w:pStyle w:val="Compact"/>
        <w:numPr>
          <w:ilvl w:val="0"/>
          <w:numId w:val="1002"/>
        </w:numPr>
      </w:pPr>
      <w:r>
        <w:rPr>
          <w:b/>
          <w:bCs/>
        </w:rPr>
        <w:t xml:space="preserve">Record what was done and why, not just how long it took.</w:t>
      </w:r>
      <w:r>
        <w:t xml:space="preserve"> </w:t>
      </w:r>
      <w:r>
        <w:t xml:space="preserve">There is no minimum number of hours (DWP guidance, para 151). Time can be recorded where useful, for example for apportionment (Chapter 9, 9.3), but it is never the test (Chapter 15, 15.3).</w:t>
      </w:r>
    </w:p>
    <w:p>
      <w:pPr>
        <w:pStyle w:val="Compact"/>
        <w:numPr>
          <w:ilvl w:val="0"/>
          <w:numId w:val="1002"/>
        </w:numPr>
      </w:pPr>
      <w:r>
        <w:rPr>
          <w:b/>
          <w:bCs/>
        </w:rPr>
        <w:t xml:space="preserve">Link each entry to the plan.</w:t>
      </w:r>
      <w:r>
        <w:t xml:space="preserve"> </w:t>
      </w:r>
      <w:r>
        <w:t xml:space="preserve">Each entry should refer to a need in the tenant's support plan (Appendix 6, B1) and use the same type codes, so it is clear what is eligible.</w:t>
      </w:r>
    </w:p>
    <w:p>
      <w:pPr>
        <w:pStyle w:val="Compact"/>
        <w:numPr>
          <w:ilvl w:val="0"/>
          <w:numId w:val="1002"/>
        </w:numPr>
      </w:pPr>
      <w:r>
        <w:rPr>
          <w:b/>
          <w:bCs/>
        </w:rPr>
        <w:t xml:space="preserve">Summarise for the council.</w:t>
      </w:r>
      <w:r>
        <w:t xml:space="preserve"> </w:t>
      </w:r>
      <w:r>
        <w:t xml:space="preserve">Councils usually need the summary in Part C, not the logs themselves. Full case notes, minute-by-minute logs and timesheets by tenant rarely add anything and raise data protection concerns (Chapter 12, 12.3 and 12.6).</w:t>
      </w:r>
    </w:p>
    <w:p>
      <w:pPr>
        <w:pStyle w:val="FirstParagraph"/>
      </w:pPr>
      <w:r>
        <w:rPr>
          <w:b/>
          <w:bCs/>
        </w:rPr>
        <w:t xml:space="preserve">Type codes</w:t>
      </w:r>
      <w:r>
        <w:t xml:space="preserve"> </w:t>
      </w:r>
      <w:r>
        <w:t xml:space="preserve">(as in Appendix 6):</w:t>
      </w:r>
    </w:p>
    <w:p>
      <w:pPr>
        <w:pStyle w:val="Compact"/>
        <w:numPr>
          <w:ilvl w:val="0"/>
          <w:numId w:val="1003"/>
        </w:numPr>
      </w:pPr>
      <w:r>
        <w:rPr>
          <w:b/>
          <w:bCs/>
        </w:rPr>
        <w:t xml:space="preserve">HRS:</w:t>
      </w:r>
      <w:r>
        <w:t xml:space="preserve"> </w:t>
      </w:r>
      <w:r>
        <w:t xml:space="preserve">housing-related support (eligible)</w:t>
      </w:r>
    </w:p>
    <w:p>
      <w:pPr>
        <w:pStyle w:val="Compact"/>
        <w:numPr>
          <w:ilvl w:val="0"/>
          <w:numId w:val="1003"/>
        </w:numPr>
      </w:pPr>
      <w:r>
        <w:rPr>
          <w:b/>
          <w:bCs/>
        </w:rPr>
        <w:t xml:space="preserve">IHM:</w:t>
      </w:r>
      <w:r>
        <w:t xml:space="preserve"> </w:t>
      </w:r>
      <w:r>
        <w:t xml:space="preserve">intensive housing management and maintenance (eligible)</w:t>
      </w:r>
    </w:p>
    <w:p>
      <w:pPr>
        <w:pStyle w:val="Compact"/>
        <w:numPr>
          <w:ilvl w:val="0"/>
          <w:numId w:val="1003"/>
        </w:numPr>
      </w:pPr>
      <w:r>
        <w:rPr>
          <w:b/>
          <w:bCs/>
        </w:rPr>
        <w:t xml:space="preserve">SUP:</w:t>
      </w:r>
      <w:r>
        <w:t xml:space="preserve"> </w:t>
      </w:r>
      <w:r>
        <w:t xml:space="preserve">supervision, including welfare checks and on-call cover (eligible)</w:t>
      </w:r>
    </w:p>
    <w:p>
      <w:pPr>
        <w:pStyle w:val="Compact"/>
        <w:numPr>
          <w:ilvl w:val="0"/>
          <w:numId w:val="1003"/>
        </w:numPr>
      </w:pPr>
      <w:r>
        <w:rPr>
          <w:b/>
          <w:bCs/>
        </w:rPr>
        <w:t xml:space="preserve">CPS:</w:t>
      </w:r>
      <w:r>
        <w:t xml:space="preserve"> </w:t>
      </w:r>
      <w:r>
        <w:t xml:space="preserve">care or personal support (not eligible; recorded so it can be apportioned and its funding shown)</w:t>
      </w:r>
    </w:p>
    <w:bookmarkStart w:id="11" w:name="part-a-tenant-activity-log"/>
    <w:p>
      <w:pPr>
        <w:pStyle w:val="Heading2"/>
        <w:pBdr>
          <w:bottom w:val="single" w:sz="12" w:space="4" w:color="FF9202"/>
        </w:pBdr>
      </w:pPr>
      <w:r>
        <w:t xml:space="preserve">Part A: Tenant activity log</w:t>
      </w:r>
    </w:p>
    <w:p>
      <w:pPr>
        <w:pStyle w:val="FirstParagraph"/>
      </w:pPr>
      <w:r>
        <w:t xml:space="preserve">One log for each tenant. Record each planned session and each unplanned contact, with the need in the support plan it relates to.</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1028"/>
        <w:gridCol w:w="3554"/>
        <w:gridCol w:w="841"/>
        <w:gridCol w:w="1403"/>
        <w:gridCol w:w="2525"/>
      </w:tblGrid>
      <w:tr>
        <w:trPr>
          <w:tblHeader w:val="on"/>
          <w:cantSplit/>
          <w:tblHeader w:val="true"/>
        </w:trPr>
        <w:tc>
          <w:tcPr>
            <w:tcW w:type="dxa" w:w="1028"/>
            <w:shd w:val="clear" w:color="auto" w:fill="002F6D"/>
          </w:tcPr>
          <w:p>
            <w:pPr>
              <w:pStyle w:val="Compact"/>
            </w:pPr>
            <w:r>
              <w:rPr>
                <w:b/>
                <w:color w:val="FFFFFF"/>
              </w:rPr>
              <w:t xml:space="preserve">Date</w:t>
            </w:r>
          </w:p>
        </w:tc>
        <w:tc>
          <w:tcPr>
            <w:tcW w:type="dxa" w:w="3554"/>
            <w:shd w:val="clear" w:color="auto" w:fill="002F6D"/>
          </w:tcPr>
          <w:p>
            <w:pPr>
              <w:pStyle w:val="Compact"/>
            </w:pPr>
            <w:r>
              <w:rPr>
                <w:b/>
                <w:color w:val="FFFFFF"/>
              </w:rPr>
              <w:t xml:space="preserve">Activity and plan need</w:t>
            </w:r>
          </w:p>
        </w:tc>
        <w:tc>
          <w:tcPr>
            <w:tcW w:type="dxa" w:w="841"/>
            <w:shd w:val="clear" w:color="auto" w:fill="002F6D"/>
          </w:tcPr>
          <w:p>
            <w:pPr>
              <w:pStyle w:val="Compact"/>
            </w:pPr>
            <w:r>
              <w:rPr>
                <w:b/>
                <w:color w:val="FFFFFF"/>
              </w:rPr>
              <w:t xml:space="preserve">Type</w:t>
            </w:r>
          </w:p>
        </w:tc>
        <w:tc>
          <w:tcPr>
            <w:tcW w:type="dxa" w:w="1403"/>
            <w:shd w:val="clear" w:color="auto" w:fill="002F6D"/>
          </w:tcPr>
          <w:p>
            <w:pPr>
              <w:pStyle w:val="Compact"/>
            </w:pPr>
            <w:r>
              <w:rPr>
                <w:b/>
                <w:color w:val="FFFFFF"/>
              </w:rPr>
              <w:t xml:space="preserve">By</w:t>
            </w:r>
          </w:p>
        </w:tc>
        <w:tc>
          <w:tcPr>
            <w:tcW w:type="dxa" w:w="2525"/>
            <w:shd w:val="clear" w:color="auto" w:fill="002F6D"/>
          </w:tcPr>
          <w:p>
            <w:pPr>
              <w:pStyle w:val="Compact"/>
            </w:pPr>
            <w:r>
              <w:rPr>
                <w:b/>
                <w:color w:val="FFFFFF"/>
              </w:rPr>
              <w:t xml:space="preserve">Outcome and follow-up</w:t>
            </w:r>
          </w:p>
        </w:tc>
      </w:tr>
      <w:tr>
        <w:trPr>
          <w:cantSplit/>
        </w:trPr>
        <w:tc>
          <w:tcPr>
            <w:tcW w:type="dxa" w:w="1028"/>
          </w:tcPr>
          <w:p>
            <w:pPr>
              <w:pStyle w:val="Compact"/>
            </w:pPr>
          </w:p>
        </w:tc>
        <w:tc>
          <w:tcPr>
            <w:tcW w:type="dxa" w:w="3554"/>
          </w:tcPr>
          <w:p>
            <w:pPr>
              <w:pStyle w:val="Compact"/>
            </w:pPr>
          </w:p>
        </w:tc>
        <w:tc>
          <w:tcPr>
            <w:tcW w:type="dxa" w:w="841"/>
          </w:tcPr>
          <w:p>
            <w:pPr>
              <w:pStyle w:val="Compact"/>
            </w:pPr>
          </w:p>
        </w:tc>
        <w:tc>
          <w:tcPr>
            <w:tcW w:type="dxa" w:w="1403"/>
          </w:tcPr>
          <w:p>
            <w:pPr>
              <w:pStyle w:val="Compact"/>
            </w:pPr>
          </w:p>
        </w:tc>
        <w:tc>
          <w:tcPr>
            <w:tcW w:type="dxa" w:w="2525"/>
          </w:tcPr>
          <w:p>
            <w:pPr>
              <w:pStyle w:val="Compact"/>
            </w:pPr>
          </w:p>
        </w:tc>
      </w:tr>
      <w:tr>
        <w:trPr>
          <w:cantSplit/>
        </w:trPr>
        <w:tc>
          <w:tcPr>
            <w:tcW w:type="dxa" w:w="1028"/>
            <w:shd w:val="clear" w:color="auto" w:fill="E6ECF4"/>
          </w:tcPr>
          <w:p>
            <w:pPr>
              <w:pStyle w:val="Compact"/>
            </w:pPr>
          </w:p>
        </w:tc>
        <w:tc>
          <w:tcPr>
            <w:tcW w:type="dxa" w:w="3554"/>
            <w:shd w:val="clear" w:color="auto" w:fill="E6ECF4"/>
          </w:tcPr>
          <w:p>
            <w:pPr>
              <w:pStyle w:val="Compact"/>
            </w:pPr>
          </w:p>
        </w:tc>
        <w:tc>
          <w:tcPr>
            <w:tcW w:type="dxa" w:w="841"/>
            <w:shd w:val="clear" w:color="auto" w:fill="E6ECF4"/>
          </w:tcPr>
          <w:p>
            <w:pPr>
              <w:pStyle w:val="Compact"/>
            </w:pPr>
          </w:p>
        </w:tc>
        <w:tc>
          <w:tcPr>
            <w:tcW w:type="dxa" w:w="1403"/>
            <w:shd w:val="clear" w:color="auto" w:fill="E6ECF4"/>
          </w:tcPr>
          <w:p>
            <w:pPr>
              <w:pStyle w:val="Compact"/>
            </w:pPr>
          </w:p>
        </w:tc>
        <w:tc>
          <w:tcPr>
            <w:tcW w:type="dxa" w:w="2525"/>
            <w:shd w:val="clear" w:color="auto" w:fill="E6ECF4"/>
          </w:tcPr>
          <w:p>
            <w:pPr>
              <w:pStyle w:val="Compact"/>
            </w:pPr>
          </w:p>
        </w:tc>
      </w:tr>
      <w:tr>
        <w:trPr>
          <w:cantSplit/>
        </w:trPr>
        <w:tc>
          <w:tcPr>
            <w:tcW w:type="dxa" w:w="1028"/>
          </w:tcPr>
          <w:p>
            <w:pPr>
              <w:pStyle w:val="Compact"/>
            </w:pPr>
          </w:p>
        </w:tc>
        <w:tc>
          <w:tcPr>
            <w:tcW w:type="dxa" w:w="3554"/>
          </w:tcPr>
          <w:p>
            <w:pPr>
              <w:pStyle w:val="Compact"/>
            </w:pPr>
          </w:p>
        </w:tc>
        <w:tc>
          <w:tcPr>
            <w:tcW w:type="dxa" w:w="841"/>
          </w:tcPr>
          <w:p>
            <w:pPr>
              <w:pStyle w:val="Compact"/>
            </w:pPr>
          </w:p>
        </w:tc>
        <w:tc>
          <w:tcPr>
            <w:tcW w:type="dxa" w:w="1403"/>
          </w:tcPr>
          <w:p>
            <w:pPr>
              <w:pStyle w:val="Compact"/>
            </w:pPr>
          </w:p>
        </w:tc>
        <w:tc>
          <w:tcPr>
            <w:tcW w:type="dxa" w:w="2525"/>
          </w:tcPr>
          <w:p>
            <w:pPr>
              <w:pStyle w:val="Compact"/>
            </w:pPr>
          </w:p>
        </w:tc>
      </w:tr>
      <w:tr>
        <w:trPr>
          <w:cantSplit/>
        </w:trPr>
        <w:tc>
          <w:tcPr>
            <w:tcW w:type="dxa" w:w="1028"/>
            <w:shd w:val="clear" w:color="auto" w:fill="E6ECF4"/>
          </w:tcPr>
          <w:p>
            <w:pPr>
              <w:pStyle w:val="Compact"/>
            </w:pPr>
          </w:p>
        </w:tc>
        <w:tc>
          <w:tcPr>
            <w:tcW w:type="dxa" w:w="3554"/>
            <w:shd w:val="clear" w:color="auto" w:fill="E6ECF4"/>
          </w:tcPr>
          <w:p>
            <w:pPr>
              <w:pStyle w:val="Compact"/>
            </w:pPr>
          </w:p>
        </w:tc>
        <w:tc>
          <w:tcPr>
            <w:tcW w:type="dxa" w:w="841"/>
            <w:shd w:val="clear" w:color="auto" w:fill="E6ECF4"/>
          </w:tcPr>
          <w:p>
            <w:pPr>
              <w:pStyle w:val="Compact"/>
            </w:pPr>
          </w:p>
        </w:tc>
        <w:tc>
          <w:tcPr>
            <w:tcW w:type="dxa" w:w="1403"/>
            <w:shd w:val="clear" w:color="auto" w:fill="E6ECF4"/>
          </w:tcPr>
          <w:p>
            <w:pPr>
              <w:pStyle w:val="Compact"/>
            </w:pPr>
          </w:p>
        </w:tc>
        <w:tc>
          <w:tcPr>
            <w:tcW w:type="dxa" w:w="2525"/>
            <w:shd w:val="clear" w:color="auto" w:fill="E6ECF4"/>
          </w:tcPr>
          <w:p>
            <w:pPr>
              <w:pStyle w:val="Compact"/>
            </w:pPr>
          </w:p>
        </w:tc>
      </w:tr>
      <w:tr>
        <w:trPr>
          <w:cantSplit/>
        </w:trPr>
        <w:tc>
          <w:tcPr>
            <w:tcW w:type="dxa" w:w="1028"/>
          </w:tcPr>
          <w:p>
            <w:pPr>
              <w:pStyle w:val="Compact"/>
            </w:pPr>
          </w:p>
        </w:tc>
        <w:tc>
          <w:tcPr>
            <w:tcW w:type="dxa" w:w="3554"/>
          </w:tcPr>
          <w:p>
            <w:pPr>
              <w:pStyle w:val="Compact"/>
            </w:pPr>
          </w:p>
        </w:tc>
        <w:tc>
          <w:tcPr>
            <w:tcW w:type="dxa" w:w="841"/>
          </w:tcPr>
          <w:p>
            <w:pPr>
              <w:pStyle w:val="Compact"/>
            </w:pPr>
          </w:p>
        </w:tc>
        <w:tc>
          <w:tcPr>
            <w:tcW w:type="dxa" w:w="1403"/>
          </w:tcPr>
          <w:p>
            <w:pPr>
              <w:pStyle w:val="Compact"/>
            </w:pPr>
          </w:p>
        </w:tc>
        <w:tc>
          <w:tcPr>
            <w:tcW w:type="dxa" w:w="2525"/>
          </w:tcPr>
          <w:p>
            <w:pPr>
              <w:pStyle w:val="Compact"/>
            </w:pPr>
          </w:p>
        </w:tc>
      </w:tr>
    </w:tbl>
    <w:p>
      <w:pPr>
        <w:pStyle w:val="BodyText"/>
      </w:pPr>
      <w:r>
        <w:rPr>
          <w:b/>
          <w:bCs/>
        </w:rPr>
        <w:t xml:space="preserve">Missed or refused contacts.</w:t>
      </w:r>
      <w:r>
        <w:t xml:space="preserve"> </w:t>
      </w:r>
      <w:r>
        <w:t xml:space="preserve">Record these too, with what was done to re-engage the tenant. A pattern of refused support is relevant to whether support is in fact provided and needed, and should prompt a plan review.</w:t>
      </w:r>
    </w:p>
    <w:bookmarkEnd w:id="11"/>
    <w:bookmarkStart w:id="16" w:name="part-b-scheme-logs"/>
    <w:p>
      <w:pPr>
        <w:pStyle w:val="Heading2"/>
        <w:pageBreakBefore/>
        <w:pBdr>
          <w:bottom w:val="single" w:sz="12" w:space="4" w:color="FF9202"/>
        </w:pBdr>
      </w:pPr>
      <w:r>
        <w:t xml:space="preserve">Part B: Scheme logs</w:t>
      </w:r>
    </w:p>
    <w:p>
      <w:pPr>
        <w:pStyle w:val="FirstParagraph"/>
      </w:pPr>
      <w:r>
        <w:t xml:space="preserve">Some evidence relates to the whole scheme rather than one tenant. These logs are kept at scheme level and summarised in the scheme's annual review (Appendix 4).</w:t>
      </w:r>
    </w:p>
    <w:bookmarkStart w:id="12" w:name="b1-repairs-and-maintenance-log"/>
    <w:p>
      <w:pPr>
        <w:pStyle w:val="Heading3"/>
      </w:pPr>
      <w:r>
        <w:t xml:space="preserve">B1. Repairs and maintenance log</w:t>
      </w:r>
    </w:p>
    <w:p>
      <w:pPr>
        <w:pStyle w:val="FirstParagraph"/>
      </w:pPr>
      <w:r>
        <w:t xml:space="preserve">Record the cause of each repair, so that damage and extra work linked to tenants' needs can be identified (Chapter 15, 15.4).</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1309"/>
        <w:gridCol w:w="1590"/>
        <w:gridCol w:w="2806"/>
        <w:gridCol w:w="1403"/>
        <w:gridCol w:w="2244"/>
      </w:tblGrid>
      <w:tr>
        <w:trPr>
          <w:tblHeader w:val="on"/>
          <w:cantSplit/>
          <w:tblHeader w:val="true"/>
        </w:trPr>
        <w:tc>
          <w:tcPr>
            <w:tcW w:type="dxa" w:w="1309"/>
            <w:shd w:val="clear" w:color="auto" w:fill="002F6D"/>
          </w:tcPr>
          <w:p>
            <w:pPr>
              <w:pStyle w:val="Compact"/>
            </w:pPr>
            <w:r>
              <w:rPr>
                <w:b/>
                <w:color w:val="FFFFFF"/>
              </w:rPr>
              <w:t xml:space="preserve">Date reported</w:t>
            </w:r>
          </w:p>
        </w:tc>
        <w:tc>
          <w:tcPr>
            <w:tcW w:type="dxa" w:w="1590"/>
            <w:shd w:val="clear" w:color="auto" w:fill="002F6D"/>
          </w:tcPr>
          <w:p>
            <w:pPr>
              <w:pStyle w:val="Compact"/>
            </w:pPr>
            <w:r>
              <w:rPr>
                <w:b/>
                <w:color w:val="FFFFFF"/>
              </w:rPr>
              <w:t xml:space="preserve">Property and room</w:t>
            </w:r>
          </w:p>
        </w:tc>
        <w:tc>
          <w:tcPr>
            <w:tcW w:type="dxa" w:w="2806"/>
            <w:shd w:val="clear" w:color="auto" w:fill="002F6D"/>
          </w:tcPr>
          <w:p>
            <w:pPr>
              <w:pStyle w:val="Compact"/>
            </w:pPr>
            <w:r>
              <w:rPr>
                <w:b/>
                <w:color w:val="FFFFFF"/>
              </w:rPr>
              <w:t xml:space="preserve">Repair and cause</w:t>
            </w:r>
          </w:p>
        </w:tc>
        <w:tc>
          <w:tcPr>
            <w:tcW w:type="dxa" w:w="1403"/>
            <w:shd w:val="clear" w:color="auto" w:fill="002F6D"/>
          </w:tcPr>
          <w:p>
            <w:pPr>
              <w:pStyle w:val="Compact"/>
            </w:pPr>
            <w:r>
              <w:rPr>
                <w:b/>
                <w:color w:val="FFFFFF"/>
              </w:rPr>
              <w:t xml:space="preserve">Linked to tenant need?</w:t>
            </w:r>
          </w:p>
        </w:tc>
        <w:tc>
          <w:tcPr>
            <w:tcW w:type="dxa" w:w="2244"/>
            <w:shd w:val="clear" w:color="auto" w:fill="002F6D"/>
          </w:tcPr>
          <w:p>
            <w:pPr>
              <w:pStyle w:val="Compact"/>
            </w:pPr>
            <w:r>
              <w:rPr>
                <w:b/>
                <w:color w:val="FFFFFF"/>
              </w:rPr>
              <w:t xml:space="preserve">Response and date completed</w:t>
            </w:r>
          </w:p>
        </w:tc>
      </w:tr>
      <w:tr>
        <w:trPr>
          <w:cantSplit/>
        </w:trPr>
        <w:tc>
          <w:tcPr>
            <w:tcW w:type="dxa" w:w="1309"/>
          </w:tcPr>
          <w:p>
            <w:pPr>
              <w:pStyle w:val="Compact"/>
            </w:pPr>
          </w:p>
        </w:tc>
        <w:tc>
          <w:tcPr>
            <w:tcW w:type="dxa" w:w="1590"/>
          </w:tcPr>
          <w:p>
            <w:pPr>
              <w:pStyle w:val="Compact"/>
            </w:pPr>
          </w:p>
        </w:tc>
        <w:tc>
          <w:tcPr>
            <w:tcW w:type="dxa" w:w="2806"/>
          </w:tcPr>
          <w:p>
            <w:pPr>
              <w:pStyle w:val="Compact"/>
            </w:pPr>
          </w:p>
        </w:tc>
        <w:tc>
          <w:tcPr>
            <w:tcW w:type="dxa" w:w="1403"/>
          </w:tcPr>
          <w:p>
            <w:pPr>
              <w:pStyle w:val="Compact"/>
            </w:pPr>
          </w:p>
        </w:tc>
        <w:tc>
          <w:tcPr>
            <w:tcW w:type="dxa" w:w="2244"/>
          </w:tcPr>
          <w:p>
            <w:pPr>
              <w:pStyle w:val="Compact"/>
            </w:pPr>
          </w:p>
        </w:tc>
      </w:tr>
      <w:tr>
        <w:trPr>
          <w:cantSplit/>
        </w:trPr>
        <w:tc>
          <w:tcPr>
            <w:tcW w:type="dxa" w:w="1309"/>
            <w:shd w:val="clear" w:color="auto" w:fill="E6ECF4"/>
          </w:tcPr>
          <w:p>
            <w:pPr>
              <w:pStyle w:val="Compact"/>
            </w:pPr>
          </w:p>
        </w:tc>
        <w:tc>
          <w:tcPr>
            <w:tcW w:type="dxa" w:w="1590"/>
            <w:shd w:val="clear" w:color="auto" w:fill="E6ECF4"/>
          </w:tcPr>
          <w:p>
            <w:pPr>
              <w:pStyle w:val="Compact"/>
            </w:pPr>
          </w:p>
        </w:tc>
        <w:tc>
          <w:tcPr>
            <w:tcW w:type="dxa" w:w="2806"/>
            <w:shd w:val="clear" w:color="auto" w:fill="E6ECF4"/>
          </w:tcPr>
          <w:p>
            <w:pPr>
              <w:pStyle w:val="Compact"/>
            </w:pPr>
          </w:p>
        </w:tc>
        <w:tc>
          <w:tcPr>
            <w:tcW w:type="dxa" w:w="1403"/>
            <w:shd w:val="clear" w:color="auto" w:fill="E6ECF4"/>
          </w:tcPr>
          <w:p>
            <w:pPr>
              <w:pStyle w:val="Compact"/>
            </w:pPr>
          </w:p>
        </w:tc>
        <w:tc>
          <w:tcPr>
            <w:tcW w:type="dxa" w:w="2244"/>
            <w:shd w:val="clear" w:color="auto" w:fill="E6ECF4"/>
          </w:tcPr>
          <w:p>
            <w:pPr>
              <w:pStyle w:val="Compact"/>
            </w:pPr>
          </w:p>
        </w:tc>
      </w:tr>
      <w:tr>
        <w:trPr>
          <w:cantSplit/>
        </w:trPr>
        <w:tc>
          <w:tcPr>
            <w:tcW w:type="dxa" w:w="1309"/>
          </w:tcPr>
          <w:p>
            <w:pPr>
              <w:pStyle w:val="Compact"/>
            </w:pPr>
          </w:p>
        </w:tc>
        <w:tc>
          <w:tcPr>
            <w:tcW w:type="dxa" w:w="1590"/>
          </w:tcPr>
          <w:p>
            <w:pPr>
              <w:pStyle w:val="Compact"/>
            </w:pPr>
          </w:p>
        </w:tc>
        <w:tc>
          <w:tcPr>
            <w:tcW w:type="dxa" w:w="2806"/>
          </w:tcPr>
          <w:p>
            <w:pPr>
              <w:pStyle w:val="Compact"/>
            </w:pPr>
          </w:p>
        </w:tc>
        <w:tc>
          <w:tcPr>
            <w:tcW w:type="dxa" w:w="1403"/>
          </w:tcPr>
          <w:p>
            <w:pPr>
              <w:pStyle w:val="Compact"/>
            </w:pPr>
          </w:p>
        </w:tc>
        <w:tc>
          <w:tcPr>
            <w:tcW w:type="dxa" w:w="2244"/>
          </w:tcPr>
          <w:p>
            <w:pPr>
              <w:pStyle w:val="Compact"/>
            </w:pPr>
          </w:p>
        </w:tc>
      </w:tr>
    </w:tbl>
    <w:p>
      <w:pPr>
        <w:pStyle w:val="BodyText"/>
      </w:pPr>
      <w:r>
        <w:rPr>
          <w:b/>
          <w:bCs/>
        </w:rPr>
        <w:t xml:space="preserve">Linked to tenant need.</w:t>
      </w:r>
      <w:r>
        <w:t xml:space="preserve"> </w:t>
      </w:r>
      <w:r>
        <w:t xml:space="preserve">Answer "yes" where the repair arises from a tenant's needs or behaviour, or where the work was arranged in a special way because of those needs, such as timing, accompaniment or making safe. Ordinary wear and tear and statutory checks are "no" (</w:t>
      </w:r>
      <w:r>
        <w:rPr>
          <w:i/>
          <w:iCs/>
        </w:rPr>
        <w:t xml:space="preserve">Chorley BC v IT</w:t>
      </w:r>
      <w:r>
        <w:t xml:space="preserve"> </w:t>
      </w:r>
      <w:r>
        <w:t xml:space="preserve">[2009] UKUT 107 (AAC), para 71).</w:t>
      </w:r>
    </w:p>
    <w:bookmarkEnd w:id="12"/>
    <w:bookmarkStart w:id="13" w:name="b2-call-out-and-intervention-log"/>
    <w:p>
      <w:pPr>
        <w:pStyle w:val="Heading3"/>
      </w:pPr>
      <w:r>
        <w:t xml:space="preserve">B2. Call-out and intervention log</w:t>
      </w:r>
    </w:p>
    <w:p>
      <w:pPr>
        <w:pStyle w:val="FirstParagraph"/>
      </w:pPr>
      <w:r>
        <w:t xml:space="preserve">Record each out-of-hours call and each unplanned intervention by staff, whether or not a visit was needed (Chapter 15, 15.5).</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1403"/>
        <w:gridCol w:w="1403"/>
        <w:gridCol w:w="2525"/>
        <w:gridCol w:w="2151"/>
        <w:gridCol w:w="1870"/>
      </w:tblGrid>
      <w:tr>
        <w:trPr>
          <w:tblHeader w:val="on"/>
          <w:cantSplit/>
          <w:tblHeader w:val="true"/>
        </w:trPr>
        <w:tc>
          <w:tcPr>
            <w:tcW w:type="dxa" w:w="1403"/>
            <w:shd w:val="clear" w:color="auto" w:fill="002F6D"/>
          </w:tcPr>
          <w:p>
            <w:pPr>
              <w:pStyle w:val="Compact"/>
            </w:pPr>
            <w:r>
              <w:rPr>
                <w:b/>
                <w:color w:val="FFFFFF"/>
              </w:rPr>
              <w:t xml:space="preserve">Date and time</w:t>
            </w:r>
          </w:p>
        </w:tc>
        <w:tc>
          <w:tcPr>
            <w:tcW w:type="dxa" w:w="1403"/>
            <w:shd w:val="clear" w:color="auto" w:fill="002F6D"/>
          </w:tcPr>
          <w:p>
            <w:pPr>
              <w:pStyle w:val="Compact"/>
            </w:pPr>
            <w:r>
              <w:rPr>
                <w:b/>
                <w:color w:val="FFFFFF"/>
              </w:rPr>
              <w:t xml:space="preserve">Tenant or area</w:t>
            </w:r>
          </w:p>
        </w:tc>
        <w:tc>
          <w:tcPr>
            <w:tcW w:type="dxa" w:w="2525"/>
            <w:shd w:val="clear" w:color="auto" w:fill="002F6D"/>
          </w:tcPr>
          <w:p>
            <w:pPr>
              <w:pStyle w:val="Compact"/>
            </w:pPr>
            <w:r>
              <w:rPr>
                <w:b/>
                <w:color w:val="FFFFFF"/>
              </w:rPr>
              <w:t xml:space="preserve">Nature of call or concern</w:t>
            </w:r>
          </w:p>
        </w:tc>
        <w:tc>
          <w:tcPr>
            <w:tcW w:type="dxa" w:w="2151"/>
            <w:shd w:val="clear" w:color="auto" w:fill="002F6D"/>
          </w:tcPr>
          <w:p>
            <w:pPr>
              <w:pStyle w:val="Compact"/>
            </w:pPr>
            <w:r>
              <w:rPr>
                <w:b/>
                <w:color w:val="FFFFFF"/>
              </w:rPr>
              <w:t xml:space="preserve">Response</w:t>
            </w:r>
          </w:p>
        </w:tc>
        <w:tc>
          <w:tcPr>
            <w:tcW w:type="dxa" w:w="1870"/>
            <w:shd w:val="clear" w:color="auto" w:fill="002F6D"/>
          </w:tcPr>
          <w:p>
            <w:pPr>
              <w:pStyle w:val="Compact"/>
            </w:pPr>
            <w:r>
              <w:rPr>
                <w:b/>
                <w:color w:val="FFFFFF"/>
              </w:rPr>
              <w:t xml:space="preserve">Outcome</w:t>
            </w:r>
          </w:p>
        </w:tc>
      </w:tr>
      <w:tr>
        <w:trPr>
          <w:cantSplit/>
        </w:trPr>
        <w:tc>
          <w:tcPr>
            <w:tcW w:type="dxa" w:w="1403"/>
          </w:tcPr>
          <w:p>
            <w:pPr>
              <w:pStyle w:val="Compact"/>
            </w:pPr>
          </w:p>
        </w:tc>
        <w:tc>
          <w:tcPr>
            <w:tcW w:type="dxa" w:w="1403"/>
          </w:tcPr>
          <w:p>
            <w:pPr>
              <w:pStyle w:val="Compact"/>
            </w:pPr>
          </w:p>
        </w:tc>
        <w:tc>
          <w:tcPr>
            <w:tcW w:type="dxa" w:w="2525"/>
          </w:tcPr>
          <w:p>
            <w:pPr>
              <w:pStyle w:val="Compact"/>
            </w:pPr>
          </w:p>
        </w:tc>
        <w:tc>
          <w:tcPr>
            <w:tcW w:type="dxa" w:w="2151"/>
          </w:tcPr>
          <w:p>
            <w:pPr>
              <w:pStyle w:val="Compact"/>
            </w:pPr>
          </w:p>
        </w:tc>
        <w:tc>
          <w:tcPr>
            <w:tcW w:type="dxa" w:w="1870"/>
          </w:tcPr>
          <w:p>
            <w:pPr>
              <w:pStyle w:val="Compact"/>
            </w:pPr>
          </w:p>
        </w:tc>
      </w:tr>
      <w:tr>
        <w:trPr>
          <w:cantSplit/>
        </w:trPr>
        <w:tc>
          <w:tcPr>
            <w:tcW w:type="dxa" w:w="1403"/>
            <w:shd w:val="clear" w:color="auto" w:fill="E6ECF4"/>
          </w:tcPr>
          <w:p>
            <w:pPr>
              <w:pStyle w:val="Compact"/>
            </w:pPr>
          </w:p>
        </w:tc>
        <w:tc>
          <w:tcPr>
            <w:tcW w:type="dxa" w:w="1403"/>
            <w:shd w:val="clear" w:color="auto" w:fill="E6ECF4"/>
          </w:tcPr>
          <w:p>
            <w:pPr>
              <w:pStyle w:val="Compact"/>
            </w:pPr>
          </w:p>
        </w:tc>
        <w:tc>
          <w:tcPr>
            <w:tcW w:type="dxa" w:w="2525"/>
            <w:shd w:val="clear" w:color="auto" w:fill="E6ECF4"/>
          </w:tcPr>
          <w:p>
            <w:pPr>
              <w:pStyle w:val="Compact"/>
            </w:pPr>
          </w:p>
        </w:tc>
        <w:tc>
          <w:tcPr>
            <w:tcW w:type="dxa" w:w="2151"/>
            <w:shd w:val="clear" w:color="auto" w:fill="E6ECF4"/>
          </w:tcPr>
          <w:p>
            <w:pPr>
              <w:pStyle w:val="Compact"/>
            </w:pPr>
          </w:p>
        </w:tc>
        <w:tc>
          <w:tcPr>
            <w:tcW w:type="dxa" w:w="1870"/>
            <w:shd w:val="clear" w:color="auto" w:fill="E6ECF4"/>
          </w:tcPr>
          <w:p>
            <w:pPr>
              <w:pStyle w:val="Compact"/>
            </w:pPr>
          </w:p>
        </w:tc>
      </w:tr>
      <w:tr>
        <w:trPr>
          <w:cantSplit/>
        </w:trPr>
        <w:tc>
          <w:tcPr>
            <w:tcW w:type="dxa" w:w="1403"/>
          </w:tcPr>
          <w:p>
            <w:pPr>
              <w:pStyle w:val="Compact"/>
            </w:pPr>
          </w:p>
        </w:tc>
        <w:tc>
          <w:tcPr>
            <w:tcW w:type="dxa" w:w="1403"/>
          </w:tcPr>
          <w:p>
            <w:pPr>
              <w:pStyle w:val="Compact"/>
            </w:pPr>
          </w:p>
        </w:tc>
        <w:tc>
          <w:tcPr>
            <w:tcW w:type="dxa" w:w="2525"/>
          </w:tcPr>
          <w:p>
            <w:pPr>
              <w:pStyle w:val="Compact"/>
            </w:pPr>
          </w:p>
        </w:tc>
        <w:tc>
          <w:tcPr>
            <w:tcW w:type="dxa" w:w="2151"/>
          </w:tcPr>
          <w:p>
            <w:pPr>
              <w:pStyle w:val="Compact"/>
            </w:pPr>
          </w:p>
        </w:tc>
        <w:tc>
          <w:tcPr>
            <w:tcW w:type="dxa" w:w="1870"/>
          </w:tcPr>
          <w:p>
            <w:pPr>
              <w:pStyle w:val="Compact"/>
            </w:pPr>
          </w:p>
        </w:tc>
      </w:tr>
    </w:tbl>
    <w:bookmarkEnd w:id="13"/>
    <w:bookmarkStart w:id="14" w:name="b3-property-and-welfare-checks-log"/>
    <w:p>
      <w:pPr>
        <w:pStyle w:val="Heading3"/>
      </w:pPr>
      <w:r>
        <w:t xml:space="preserve">B3. Property and welfare checks log</w:t>
      </w:r>
    </w:p>
    <w:p>
      <w:pPr>
        <w:pStyle w:val="FirstParagraph"/>
      </w:pPr>
      <w:r>
        <w:t xml:space="preserve">Record checks that go beyond statutory duties, what they found and what was done. Statutory safety checks can be listed for completeness, but they add little on their own (</w:t>
      </w:r>
      <w:r>
        <w:rPr>
          <w:i/>
          <w:iCs/>
        </w:rPr>
        <w:t xml:space="preserve">Chorley BC v EM</w:t>
      </w:r>
      <w:r>
        <w:t xml:space="preserve">, para 155).</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1216"/>
        <w:gridCol w:w="1590"/>
        <w:gridCol w:w="1870"/>
        <w:gridCol w:w="2338"/>
        <w:gridCol w:w="2338"/>
      </w:tblGrid>
      <w:tr>
        <w:trPr>
          <w:tblHeader w:val="on"/>
          <w:cantSplit/>
          <w:tblHeader w:val="true"/>
        </w:trPr>
        <w:tc>
          <w:tcPr>
            <w:tcW w:type="dxa" w:w="1216"/>
            <w:shd w:val="clear" w:color="auto" w:fill="002F6D"/>
          </w:tcPr>
          <w:p>
            <w:pPr>
              <w:pStyle w:val="Compact"/>
            </w:pPr>
            <w:r>
              <w:rPr>
                <w:b/>
                <w:color w:val="FFFFFF"/>
              </w:rPr>
              <w:t xml:space="preserve">Check date</w:t>
            </w:r>
          </w:p>
        </w:tc>
        <w:tc>
          <w:tcPr>
            <w:tcW w:type="dxa" w:w="1590"/>
            <w:shd w:val="clear" w:color="auto" w:fill="002F6D"/>
          </w:tcPr>
          <w:p>
            <w:pPr>
              <w:pStyle w:val="Compact"/>
            </w:pPr>
            <w:r>
              <w:rPr>
                <w:b/>
                <w:color w:val="FFFFFF"/>
              </w:rPr>
              <w:t xml:space="preserve">Property or room</w:t>
            </w:r>
          </w:p>
        </w:tc>
        <w:tc>
          <w:tcPr>
            <w:tcW w:type="dxa" w:w="1870"/>
            <w:shd w:val="clear" w:color="auto" w:fill="002F6D"/>
          </w:tcPr>
          <w:p>
            <w:pPr>
              <w:pStyle w:val="Compact"/>
            </w:pPr>
            <w:r>
              <w:rPr>
                <w:b/>
                <w:color w:val="FFFFFF"/>
              </w:rPr>
              <w:t xml:space="preserve">Type of check</w:t>
            </w:r>
          </w:p>
        </w:tc>
        <w:tc>
          <w:tcPr>
            <w:tcW w:type="dxa" w:w="2338"/>
            <w:shd w:val="clear" w:color="auto" w:fill="002F6D"/>
          </w:tcPr>
          <w:p>
            <w:pPr>
              <w:pStyle w:val="Compact"/>
            </w:pPr>
            <w:r>
              <w:rPr>
                <w:b/>
                <w:color w:val="FFFFFF"/>
              </w:rPr>
              <w:t xml:space="preserve">Findings</w:t>
            </w:r>
          </w:p>
        </w:tc>
        <w:tc>
          <w:tcPr>
            <w:tcW w:type="dxa" w:w="2338"/>
            <w:shd w:val="clear" w:color="auto" w:fill="002F6D"/>
          </w:tcPr>
          <w:p>
            <w:pPr>
              <w:pStyle w:val="Compact"/>
            </w:pPr>
            <w:r>
              <w:rPr>
                <w:b/>
                <w:color w:val="FFFFFF"/>
              </w:rPr>
              <w:t xml:space="preserve">Action taken</w:t>
            </w:r>
          </w:p>
        </w:tc>
      </w:tr>
      <w:tr>
        <w:trPr>
          <w:cantSplit/>
        </w:trPr>
        <w:tc>
          <w:tcPr>
            <w:tcW w:type="dxa" w:w="1216"/>
          </w:tcPr>
          <w:p>
            <w:pPr>
              <w:pStyle w:val="Compact"/>
            </w:pPr>
          </w:p>
        </w:tc>
        <w:tc>
          <w:tcPr>
            <w:tcW w:type="dxa" w:w="1590"/>
          </w:tcPr>
          <w:p>
            <w:pPr>
              <w:pStyle w:val="Compact"/>
            </w:pPr>
          </w:p>
        </w:tc>
        <w:tc>
          <w:tcPr>
            <w:tcW w:type="dxa" w:w="1870"/>
          </w:tcPr>
          <w:p>
            <w:pPr>
              <w:pStyle w:val="Compact"/>
            </w:pPr>
          </w:p>
        </w:tc>
        <w:tc>
          <w:tcPr>
            <w:tcW w:type="dxa" w:w="2338"/>
          </w:tcPr>
          <w:p>
            <w:pPr>
              <w:pStyle w:val="Compact"/>
            </w:pPr>
          </w:p>
        </w:tc>
        <w:tc>
          <w:tcPr>
            <w:tcW w:type="dxa" w:w="2338"/>
          </w:tcPr>
          <w:p>
            <w:pPr>
              <w:pStyle w:val="Compact"/>
            </w:pPr>
          </w:p>
        </w:tc>
      </w:tr>
      <w:tr>
        <w:trPr>
          <w:cantSplit/>
        </w:trPr>
        <w:tc>
          <w:tcPr>
            <w:tcW w:type="dxa" w:w="1216"/>
            <w:shd w:val="clear" w:color="auto" w:fill="E6ECF4"/>
          </w:tcPr>
          <w:p>
            <w:pPr>
              <w:pStyle w:val="Compact"/>
            </w:pPr>
          </w:p>
        </w:tc>
        <w:tc>
          <w:tcPr>
            <w:tcW w:type="dxa" w:w="1590"/>
            <w:shd w:val="clear" w:color="auto" w:fill="E6ECF4"/>
          </w:tcPr>
          <w:p>
            <w:pPr>
              <w:pStyle w:val="Compact"/>
            </w:pPr>
          </w:p>
        </w:tc>
        <w:tc>
          <w:tcPr>
            <w:tcW w:type="dxa" w:w="1870"/>
            <w:shd w:val="clear" w:color="auto" w:fill="E6ECF4"/>
          </w:tcPr>
          <w:p>
            <w:pPr>
              <w:pStyle w:val="Compact"/>
            </w:pPr>
          </w:p>
        </w:tc>
        <w:tc>
          <w:tcPr>
            <w:tcW w:type="dxa" w:w="2338"/>
            <w:shd w:val="clear" w:color="auto" w:fill="E6ECF4"/>
          </w:tcPr>
          <w:p>
            <w:pPr>
              <w:pStyle w:val="Compact"/>
            </w:pPr>
          </w:p>
        </w:tc>
        <w:tc>
          <w:tcPr>
            <w:tcW w:type="dxa" w:w="2338"/>
            <w:shd w:val="clear" w:color="auto" w:fill="E6ECF4"/>
          </w:tcPr>
          <w:p>
            <w:pPr>
              <w:pStyle w:val="Compact"/>
            </w:pPr>
          </w:p>
        </w:tc>
      </w:tr>
      <w:tr>
        <w:trPr>
          <w:cantSplit/>
        </w:trPr>
        <w:tc>
          <w:tcPr>
            <w:tcW w:type="dxa" w:w="1216"/>
          </w:tcPr>
          <w:p>
            <w:pPr>
              <w:pStyle w:val="Compact"/>
            </w:pPr>
          </w:p>
        </w:tc>
        <w:tc>
          <w:tcPr>
            <w:tcW w:type="dxa" w:w="1590"/>
          </w:tcPr>
          <w:p>
            <w:pPr>
              <w:pStyle w:val="Compact"/>
            </w:pPr>
          </w:p>
        </w:tc>
        <w:tc>
          <w:tcPr>
            <w:tcW w:type="dxa" w:w="1870"/>
          </w:tcPr>
          <w:p>
            <w:pPr>
              <w:pStyle w:val="Compact"/>
            </w:pPr>
          </w:p>
        </w:tc>
        <w:tc>
          <w:tcPr>
            <w:tcW w:type="dxa" w:w="2338"/>
          </w:tcPr>
          <w:p>
            <w:pPr>
              <w:pStyle w:val="Compact"/>
            </w:pPr>
          </w:p>
        </w:tc>
        <w:tc>
          <w:tcPr>
            <w:tcW w:type="dxa" w:w="2338"/>
          </w:tcPr>
          <w:p>
            <w:pPr>
              <w:pStyle w:val="Compact"/>
            </w:pPr>
          </w:p>
        </w:tc>
      </w:tr>
    </w:tbl>
    <w:bookmarkEnd w:id="14"/>
    <w:bookmarkStart w:id="15" w:name="b4-cover-arrangements"/>
    <w:p>
      <w:pPr>
        <w:pStyle w:val="Heading3"/>
      </w:pPr>
      <w:r>
        <w:t xml:space="preserve">B4. Cover arrangements</w:t>
      </w:r>
    </w:p>
    <w:p>
      <w:pPr>
        <w:pStyle w:val="FirstParagraph"/>
      </w:pPr>
      <w:r>
        <w:t xml:space="preserve">A short record, updated when it changes, of the supervision cover actually in place.</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928"/>
        <w:gridCol w:w="5425"/>
      </w:tblGrid>
      <w:tr>
        <w:trPr>
          <w:tblHeader w:val="on"/>
          <w:cantSplit/>
          <w:tblHeader w:val="true"/>
        </w:trPr>
        <w:tc>
          <w:tcPr>
            <w:tcW w:type="dxa" w:w="3928"/>
            <w:shd w:val="clear" w:color="auto" w:fill="002F6D"/>
          </w:tcPr>
          <w:p>
            <w:pPr>
              <w:pStyle w:val="Compact"/>
            </w:pPr>
            <w:r>
              <w:rPr>
                <w:b/>
                <w:color w:val="FFFFFF"/>
              </w:rPr>
              <w:t xml:space="preserve">Field</w:t>
            </w:r>
          </w:p>
        </w:tc>
        <w:tc>
          <w:tcPr>
            <w:tcW w:type="dxa" w:w="5425"/>
            <w:shd w:val="clear" w:color="auto" w:fill="002F6D"/>
          </w:tcPr>
          <w:p>
            <w:pPr>
              <w:pStyle w:val="Compact"/>
            </w:pPr>
            <w:r>
              <w:rPr>
                <w:b/>
                <w:color w:val="FFFFFF"/>
              </w:rPr>
              <w:t xml:space="preserve">Entry</w:t>
            </w:r>
          </w:p>
        </w:tc>
      </w:tr>
      <w:tr>
        <w:trPr>
          <w:cantSplit/>
        </w:trPr>
        <w:tc>
          <w:tcPr>
            <w:tcW w:type="dxa" w:w="3928"/>
          </w:tcPr>
          <w:p>
            <w:pPr>
              <w:pStyle w:val="Compact"/>
            </w:pPr>
            <w:r>
              <w:t xml:space="preserve">Staff visiting or on site: days and hours</w:t>
            </w:r>
          </w:p>
        </w:tc>
        <w:tc>
          <w:tcPr>
            <w:tcW w:type="dxa" w:w="5425"/>
          </w:tcPr>
          <w:p>
            <w:pPr>
              <w:pStyle w:val="Compact"/>
            </w:pPr>
          </w:p>
        </w:tc>
      </w:tr>
      <w:tr>
        <w:trPr>
          <w:cantSplit/>
        </w:trPr>
        <w:tc>
          <w:tcPr>
            <w:tcW w:type="dxa" w:w="3928"/>
            <w:shd w:val="clear" w:color="auto" w:fill="E6ECF4"/>
          </w:tcPr>
          <w:p>
            <w:pPr>
              <w:pStyle w:val="Compact"/>
            </w:pPr>
            <w:r>
              <w:t xml:space="preserve">On-call cover: hours, who covers, how tenants reach them</w:t>
            </w:r>
          </w:p>
        </w:tc>
        <w:tc>
          <w:tcPr>
            <w:tcW w:type="dxa" w:w="5425"/>
            <w:shd w:val="clear" w:color="auto" w:fill="E6ECF4"/>
          </w:tcPr>
          <w:p>
            <w:pPr>
              <w:pStyle w:val="Compact"/>
            </w:pPr>
          </w:p>
        </w:tc>
      </w:tr>
      <w:tr>
        <w:trPr>
          <w:cantSplit/>
        </w:trPr>
        <w:tc>
          <w:tcPr>
            <w:tcW w:type="dxa" w:w="3928"/>
          </w:tcPr>
          <w:p>
            <w:pPr>
              <w:pStyle w:val="Compact"/>
            </w:pPr>
            <w:r>
              <w:t xml:space="preserve">Expected response to a call</w:t>
            </w:r>
          </w:p>
        </w:tc>
        <w:tc>
          <w:tcPr>
            <w:tcW w:type="dxa" w:w="5425"/>
          </w:tcPr>
          <w:p>
            <w:pPr>
              <w:pStyle w:val="Compact"/>
            </w:pPr>
          </w:p>
        </w:tc>
      </w:tr>
      <w:tr>
        <w:trPr>
          <w:cantSplit/>
        </w:trPr>
        <w:tc>
          <w:tcPr>
            <w:tcW w:type="dxa" w:w="3928"/>
            <w:shd w:val="clear" w:color="auto" w:fill="E6ECF4"/>
          </w:tcPr>
          <w:p>
            <w:pPr>
              <w:pStyle w:val="Compact"/>
            </w:pPr>
            <w:r>
              <w:t xml:space="preserve">Rota held and where</w:t>
            </w:r>
          </w:p>
        </w:tc>
        <w:tc>
          <w:tcPr>
            <w:tcW w:type="dxa" w:w="5425"/>
            <w:shd w:val="clear" w:color="auto" w:fill="E6ECF4"/>
          </w:tcPr>
          <w:p>
            <w:pPr>
              <w:pStyle w:val="Compact"/>
            </w:pPr>
          </w:p>
        </w:tc>
      </w:tr>
    </w:tbl>
    <w:bookmarkEnd w:id="15"/>
    <w:bookmarkEnd w:id="16"/>
    <w:bookmarkStart w:id="17" w:name="part-c-summary-activity-record"/>
    <w:p>
      <w:pPr>
        <w:pStyle w:val="Heading2"/>
        <w:pageBreakBefore/>
        <w:pBdr>
          <w:bottom w:val="single" w:sz="12" w:space="4" w:color="FF9202"/>
        </w:pBdr>
      </w:pPr>
      <w:r>
        <w:t xml:space="preserve">Part C: Summary activity record</w:t>
      </w:r>
    </w:p>
    <w:p>
      <w:pPr>
        <w:pStyle w:val="FirstParagraph"/>
      </w:pPr>
      <w:r>
        <w:t xml:space="preserve">The summary activity record is the document usually sent to the council, on request or at review. It covers one tenant for a stated period, typically one to three months, and is drawn from the logs in Parts A and B.</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928"/>
        <w:gridCol w:w="5425"/>
      </w:tblGrid>
      <w:tr>
        <w:trPr>
          <w:tblHeader w:val="on"/>
          <w:cantSplit/>
          <w:tblHeader w:val="true"/>
        </w:trPr>
        <w:tc>
          <w:tcPr>
            <w:tcW w:type="dxa" w:w="3928"/>
            <w:shd w:val="clear" w:color="auto" w:fill="002F6D"/>
          </w:tcPr>
          <w:p>
            <w:pPr>
              <w:pStyle w:val="Compact"/>
            </w:pPr>
            <w:r>
              <w:rPr>
                <w:b/>
                <w:color w:val="FFFFFF"/>
              </w:rPr>
              <w:t xml:space="preserve">Field</w:t>
            </w:r>
          </w:p>
        </w:tc>
        <w:tc>
          <w:tcPr>
            <w:tcW w:type="dxa" w:w="5425"/>
            <w:shd w:val="clear" w:color="auto" w:fill="002F6D"/>
          </w:tcPr>
          <w:p>
            <w:pPr>
              <w:pStyle w:val="Compact"/>
            </w:pPr>
            <w:r>
              <w:rPr>
                <w:b/>
                <w:color w:val="FFFFFF"/>
              </w:rPr>
              <w:t xml:space="preserve">Entry</w:t>
            </w:r>
          </w:p>
        </w:tc>
      </w:tr>
      <w:tr>
        <w:trPr>
          <w:cantSplit/>
        </w:trPr>
        <w:tc>
          <w:tcPr>
            <w:tcW w:type="dxa" w:w="3928"/>
          </w:tcPr>
          <w:p>
            <w:pPr>
              <w:pStyle w:val="Compact"/>
            </w:pPr>
            <w:r>
              <w:t xml:space="preserve">Tenant reference and scheme</w:t>
            </w:r>
          </w:p>
        </w:tc>
        <w:tc>
          <w:tcPr>
            <w:tcW w:type="dxa" w:w="5425"/>
          </w:tcPr>
          <w:p>
            <w:pPr>
              <w:pStyle w:val="Compact"/>
            </w:pPr>
          </w:p>
        </w:tc>
      </w:tr>
      <w:tr>
        <w:trPr>
          <w:cantSplit/>
        </w:trPr>
        <w:tc>
          <w:tcPr>
            <w:tcW w:type="dxa" w:w="3928"/>
            <w:shd w:val="clear" w:color="auto" w:fill="E6ECF4"/>
          </w:tcPr>
          <w:p>
            <w:pPr>
              <w:pStyle w:val="Compact"/>
            </w:pPr>
            <w:r>
              <w:t xml:space="preserve">Period covered</w:t>
            </w:r>
          </w:p>
        </w:tc>
        <w:tc>
          <w:tcPr>
            <w:tcW w:type="dxa" w:w="5425"/>
            <w:shd w:val="clear" w:color="auto" w:fill="E6ECF4"/>
          </w:tcPr>
          <w:p>
            <w:pPr>
              <w:pStyle w:val="Compact"/>
            </w:pPr>
          </w:p>
        </w:tc>
      </w:tr>
      <w:tr>
        <w:trPr>
          <w:cantSplit/>
        </w:trPr>
        <w:tc>
          <w:tcPr>
            <w:tcW w:type="dxa" w:w="3928"/>
          </w:tcPr>
          <w:p>
            <w:pPr>
              <w:pStyle w:val="Compact"/>
            </w:pPr>
            <w:r>
              <w:t xml:space="preserve">Support plan date and last review</w:t>
            </w:r>
          </w:p>
        </w:tc>
        <w:tc>
          <w:tcPr>
            <w:tcW w:type="dxa" w:w="5425"/>
          </w:tcPr>
          <w:p>
            <w:pPr>
              <w:pStyle w:val="Compact"/>
            </w:pPr>
          </w:p>
        </w:tc>
      </w:tr>
      <w:tr>
        <w:trPr>
          <w:cantSplit/>
        </w:trPr>
        <w:tc>
          <w:tcPr>
            <w:tcW w:type="dxa" w:w="3928"/>
            <w:shd w:val="clear" w:color="auto" w:fill="E6ECF4"/>
          </w:tcPr>
          <w:p>
            <w:pPr>
              <w:pStyle w:val="Compact"/>
            </w:pPr>
            <w:r>
              <w:t xml:space="preserve">Completed by, role and date</w:t>
            </w:r>
          </w:p>
        </w:tc>
        <w:tc>
          <w:tcPr>
            <w:tcW w:type="dxa" w:w="5425"/>
            <w:shd w:val="clear" w:color="auto" w:fill="E6ECF4"/>
          </w:tcPr>
          <w:p>
            <w:pPr>
              <w:pStyle w:val="Compact"/>
            </w:pPr>
          </w:p>
        </w:tc>
      </w:tr>
    </w:tbl>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2057"/>
        <w:gridCol w:w="3741"/>
        <w:gridCol w:w="1777"/>
        <w:gridCol w:w="1777"/>
      </w:tblGrid>
      <w:tr>
        <w:trPr>
          <w:tblHeader w:val="on"/>
          <w:cantSplit/>
          <w:tblHeader w:val="true"/>
        </w:trPr>
        <w:tc>
          <w:tcPr>
            <w:tcW w:type="dxa" w:w="2057"/>
            <w:shd w:val="clear" w:color="auto" w:fill="002F6D"/>
          </w:tcPr>
          <w:p>
            <w:pPr>
              <w:pStyle w:val="Compact"/>
            </w:pPr>
            <w:r>
              <w:rPr>
                <w:b/>
                <w:color w:val="FFFFFF"/>
              </w:rPr>
              <w:t xml:space="preserve">Type</w:t>
            </w:r>
          </w:p>
        </w:tc>
        <w:tc>
          <w:tcPr>
            <w:tcW w:type="dxa" w:w="3741"/>
            <w:shd w:val="clear" w:color="auto" w:fill="002F6D"/>
          </w:tcPr>
          <w:p>
            <w:pPr>
              <w:pStyle w:val="Compact"/>
            </w:pPr>
            <w:r>
              <w:rPr>
                <w:b/>
                <w:color w:val="FFFFFF"/>
              </w:rPr>
              <w:t xml:space="preserve">What was done in the period</w:t>
            </w:r>
          </w:p>
        </w:tc>
        <w:tc>
          <w:tcPr>
            <w:tcW w:type="dxa" w:w="1777"/>
            <w:shd w:val="clear" w:color="auto" w:fill="002F6D"/>
          </w:tcPr>
          <w:p>
            <w:pPr>
              <w:pStyle w:val="Compact"/>
            </w:pPr>
            <w:r>
              <w:rPr>
                <w:b/>
                <w:color w:val="FFFFFF"/>
              </w:rPr>
              <w:t xml:space="preserve">How often</w:t>
            </w:r>
          </w:p>
        </w:tc>
        <w:tc>
          <w:tcPr>
            <w:tcW w:type="dxa" w:w="1777"/>
            <w:shd w:val="clear" w:color="auto" w:fill="002F6D"/>
          </w:tcPr>
          <w:p>
            <w:pPr>
              <w:pStyle w:val="Compact"/>
            </w:pPr>
            <w:r>
              <w:rPr>
                <w:b/>
                <w:color w:val="FFFFFF"/>
              </w:rPr>
              <w:t xml:space="preserve">Records held</w:t>
            </w:r>
          </w:p>
        </w:tc>
      </w:tr>
      <w:tr>
        <w:trPr>
          <w:cantSplit/>
        </w:trPr>
        <w:tc>
          <w:tcPr>
            <w:tcW w:type="dxa" w:w="2057"/>
          </w:tcPr>
          <w:p>
            <w:pPr>
              <w:pStyle w:val="Compact"/>
            </w:pPr>
            <w:r>
              <w:t xml:space="preserve">HRS</w:t>
            </w:r>
          </w:p>
        </w:tc>
        <w:tc>
          <w:tcPr>
            <w:tcW w:type="dxa" w:w="3741"/>
          </w:tcPr>
          <w:p>
            <w:pPr>
              <w:pStyle w:val="Compact"/>
            </w:pPr>
          </w:p>
        </w:tc>
        <w:tc>
          <w:tcPr>
            <w:tcW w:type="dxa" w:w="1777"/>
          </w:tcPr>
          <w:p>
            <w:pPr>
              <w:pStyle w:val="Compact"/>
            </w:pPr>
          </w:p>
        </w:tc>
        <w:tc>
          <w:tcPr>
            <w:tcW w:type="dxa" w:w="1777"/>
          </w:tcPr>
          <w:p>
            <w:pPr>
              <w:pStyle w:val="Compact"/>
            </w:pPr>
          </w:p>
        </w:tc>
      </w:tr>
      <w:tr>
        <w:trPr>
          <w:cantSplit/>
        </w:trPr>
        <w:tc>
          <w:tcPr>
            <w:tcW w:type="dxa" w:w="2057"/>
            <w:shd w:val="clear" w:color="auto" w:fill="E6ECF4"/>
          </w:tcPr>
          <w:p>
            <w:pPr>
              <w:pStyle w:val="Compact"/>
            </w:pPr>
            <w:r>
              <w:t xml:space="preserve">IHM</w:t>
            </w:r>
          </w:p>
        </w:tc>
        <w:tc>
          <w:tcPr>
            <w:tcW w:type="dxa" w:w="3741"/>
            <w:shd w:val="clear" w:color="auto" w:fill="E6ECF4"/>
          </w:tcPr>
          <w:p>
            <w:pPr>
              <w:pStyle w:val="Compact"/>
            </w:pPr>
          </w:p>
        </w:tc>
        <w:tc>
          <w:tcPr>
            <w:tcW w:type="dxa" w:w="1777"/>
            <w:shd w:val="clear" w:color="auto" w:fill="E6ECF4"/>
          </w:tcPr>
          <w:p>
            <w:pPr>
              <w:pStyle w:val="Compact"/>
            </w:pPr>
          </w:p>
        </w:tc>
        <w:tc>
          <w:tcPr>
            <w:tcW w:type="dxa" w:w="1777"/>
            <w:shd w:val="clear" w:color="auto" w:fill="E6ECF4"/>
          </w:tcPr>
          <w:p>
            <w:pPr>
              <w:pStyle w:val="Compact"/>
            </w:pPr>
          </w:p>
        </w:tc>
      </w:tr>
      <w:tr>
        <w:trPr>
          <w:cantSplit/>
        </w:trPr>
        <w:tc>
          <w:tcPr>
            <w:tcW w:type="dxa" w:w="2057"/>
          </w:tcPr>
          <w:p>
            <w:pPr>
              <w:pStyle w:val="Compact"/>
            </w:pPr>
            <w:r>
              <w:t xml:space="preserve">SUP</w:t>
            </w:r>
          </w:p>
        </w:tc>
        <w:tc>
          <w:tcPr>
            <w:tcW w:type="dxa" w:w="3741"/>
          </w:tcPr>
          <w:p>
            <w:pPr>
              <w:pStyle w:val="Compact"/>
            </w:pPr>
          </w:p>
        </w:tc>
        <w:tc>
          <w:tcPr>
            <w:tcW w:type="dxa" w:w="1777"/>
          </w:tcPr>
          <w:p>
            <w:pPr>
              <w:pStyle w:val="Compact"/>
            </w:pPr>
          </w:p>
        </w:tc>
        <w:tc>
          <w:tcPr>
            <w:tcW w:type="dxa" w:w="1777"/>
          </w:tcPr>
          <w:p>
            <w:pPr>
              <w:pStyle w:val="Compact"/>
            </w:pPr>
          </w:p>
        </w:tc>
      </w:tr>
      <w:tr>
        <w:trPr>
          <w:cantSplit/>
        </w:trPr>
        <w:tc>
          <w:tcPr>
            <w:tcW w:type="dxa" w:w="2057"/>
            <w:shd w:val="clear" w:color="auto" w:fill="E6ECF4"/>
          </w:tcPr>
          <w:p>
            <w:pPr>
              <w:pStyle w:val="Compact"/>
            </w:pPr>
            <w:r>
              <w:t xml:space="preserve">CPS (ineligible; say who provides and funds it)</w:t>
            </w:r>
          </w:p>
        </w:tc>
        <w:tc>
          <w:tcPr>
            <w:tcW w:type="dxa" w:w="3741"/>
            <w:shd w:val="clear" w:color="auto" w:fill="E6ECF4"/>
          </w:tcPr>
          <w:p>
            <w:pPr>
              <w:pStyle w:val="Compact"/>
            </w:pPr>
          </w:p>
        </w:tc>
        <w:tc>
          <w:tcPr>
            <w:tcW w:type="dxa" w:w="1777"/>
            <w:shd w:val="clear" w:color="auto" w:fill="E6ECF4"/>
          </w:tcPr>
          <w:p>
            <w:pPr>
              <w:pStyle w:val="Compact"/>
            </w:pPr>
          </w:p>
        </w:tc>
        <w:tc>
          <w:tcPr>
            <w:tcW w:type="dxa" w:w="1777"/>
            <w:shd w:val="clear" w:color="auto" w:fill="E6ECF4"/>
          </w:tcPr>
          <w:p>
            <w:pPr>
              <w:pStyle w:val="Compact"/>
            </w:pPr>
          </w:p>
        </w:tc>
      </w:tr>
    </w:tbl>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928"/>
        <w:gridCol w:w="5425"/>
      </w:tblGrid>
      <w:tr>
        <w:trPr>
          <w:tblHeader w:val="on"/>
          <w:cantSplit/>
          <w:tblHeader w:val="true"/>
        </w:trPr>
        <w:tc>
          <w:tcPr>
            <w:tcW w:type="dxa" w:w="3928"/>
            <w:shd w:val="clear" w:color="auto" w:fill="002F6D"/>
          </w:tcPr>
          <w:p>
            <w:pPr>
              <w:pStyle w:val="Compact"/>
            </w:pPr>
            <w:r>
              <w:rPr>
                <w:b/>
                <w:color w:val="FFFFFF"/>
              </w:rPr>
              <w:t xml:space="preserve">Field</w:t>
            </w:r>
          </w:p>
        </w:tc>
        <w:tc>
          <w:tcPr>
            <w:tcW w:type="dxa" w:w="5425"/>
            <w:shd w:val="clear" w:color="auto" w:fill="002F6D"/>
          </w:tcPr>
          <w:p>
            <w:pPr>
              <w:pStyle w:val="Compact"/>
            </w:pPr>
            <w:r>
              <w:rPr>
                <w:b/>
                <w:color w:val="FFFFFF"/>
              </w:rPr>
              <w:t xml:space="preserve">Entry</w:t>
            </w:r>
          </w:p>
        </w:tc>
      </w:tr>
      <w:tr>
        <w:trPr>
          <w:cantSplit/>
        </w:trPr>
        <w:tc>
          <w:tcPr>
            <w:tcW w:type="dxa" w:w="3928"/>
          </w:tcPr>
          <w:p>
            <w:pPr>
              <w:pStyle w:val="Compact"/>
            </w:pPr>
            <w:r>
              <w:t xml:space="preserve">Contacts missed or refused, and action taken</w:t>
            </w:r>
          </w:p>
        </w:tc>
        <w:tc>
          <w:tcPr>
            <w:tcW w:type="dxa" w:w="5425"/>
          </w:tcPr>
          <w:p>
            <w:pPr>
              <w:pStyle w:val="Compact"/>
            </w:pPr>
          </w:p>
        </w:tc>
      </w:tr>
      <w:tr>
        <w:trPr>
          <w:cantSplit/>
        </w:trPr>
        <w:tc>
          <w:tcPr>
            <w:tcW w:type="dxa" w:w="3928"/>
            <w:shd w:val="clear" w:color="auto" w:fill="E6ECF4"/>
          </w:tcPr>
          <w:p>
            <w:pPr>
              <w:pStyle w:val="Compact"/>
            </w:pPr>
            <w:r>
              <w:t xml:space="preserve">Changes in need or risk</w:t>
            </w:r>
          </w:p>
        </w:tc>
        <w:tc>
          <w:tcPr>
            <w:tcW w:type="dxa" w:w="5425"/>
            <w:shd w:val="clear" w:color="auto" w:fill="E6ECF4"/>
          </w:tcPr>
          <w:p>
            <w:pPr>
              <w:pStyle w:val="Compact"/>
            </w:pPr>
          </w:p>
        </w:tc>
      </w:tr>
      <w:tr>
        <w:trPr>
          <w:cantSplit/>
        </w:trPr>
        <w:tc>
          <w:tcPr>
            <w:tcW w:type="dxa" w:w="3928"/>
          </w:tcPr>
          <w:p>
            <w:pPr>
              <w:pStyle w:val="Compact"/>
            </w:pPr>
            <w:r>
              <w:t xml:space="preserve">Plan changes made or due</w:t>
            </w:r>
          </w:p>
        </w:tc>
        <w:tc>
          <w:tcPr>
            <w:tcW w:type="dxa" w:w="5425"/>
          </w:tcPr>
          <w:p>
            <w:pPr>
              <w:pStyle w:val="Compact"/>
            </w:pPr>
          </w:p>
        </w:tc>
      </w:tr>
    </w:tbl>
    <w:bookmarkEnd w:id="17"/>
    <w:bookmarkStart w:id="18" w:name="Xd68d0ddc9cdb1895e79490528242a621825987c"/>
    <w:p>
      <w:pPr>
        <w:pStyle w:val="Heading2"/>
        <w:pageBreakBefore/>
        <w:pBdr>
          <w:bottom w:val="single" w:sz="12" w:space="4" w:color="FF9202"/>
        </w:pBdr>
      </w:pPr>
      <w:r>
        <w:t xml:space="preserve">Part D: Notes on keeping and using the logs</w:t>
      </w:r>
    </w:p>
    <w:p>
      <w:pPr>
        <w:pStyle w:val="FirstParagraph"/>
      </w:pPr>
      <w:r>
        <w:rPr>
          <w:b/>
          <w:bCs/>
        </w:rPr>
        <w:t xml:space="preserve">For providers:</w:t>
      </w:r>
    </w:p>
    <w:p>
      <w:pPr>
        <w:pStyle w:val="Compact"/>
        <w:numPr>
          <w:ilvl w:val="0"/>
          <w:numId w:val="1004"/>
        </w:numPr>
      </w:pPr>
      <w:r>
        <w:rPr>
          <w:b/>
          <w:bCs/>
        </w:rPr>
        <w:t xml:space="preserve">Record promptly.</w:t>
      </w:r>
      <w:r>
        <w:t xml:space="preserve"> </w:t>
      </w:r>
      <w:r>
        <w:t xml:space="preserve">Entries made at the time, or the same day, are more reliable than records written up later.</w:t>
      </w:r>
    </w:p>
    <w:p>
      <w:pPr>
        <w:pStyle w:val="Compact"/>
        <w:numPr>
          <w:ilvl w:val="0"/>
          <w:numId w:val="1004"/>
        </w:numPr>
      </w:pPr>
      <w:r>
        <w:rPr>
          <w:b/>
          <w:bCs/>
        </w:rPr>
        <w:t xml:space="preserve">Be factual and brief.</w:t>
      </w:r>
      <w:r>
        <w:t xml:space="preserve"> </w:t>
      </w:r>
      <w:r>
        <w:t xml:space="preserve">Record what happened and what was done. Avoid sensitive detail that is not needed for the purpose.</w:t>
      </w:r>
    </w:p>
    <w:p>
      <w:pPr>
        <w:pStyle w:val="Compact"/>
        <w:numPr>
          <w:ilvl w:val="0"/>
          <w:numId w:val="1004"/>
        </w:numPr>
      </w:pPr>
      <w:r>
        <w:rPr>
          <w:b/>
          <w:bCs/>
        </w:rPr>
        <w:t xml:space="preserve">Use the same codes as the plan.</w:t>
      </w:r>
      <w:r>
        <w:t xml:space="preserve"> </w:t>
      </w:r>
      <w:r>
        <w:t xml:space="preserve">Consistent codes make the summary quick to produce and support the apportionment in the rent build-up (Appendix 8).</w:t>
      </w:r>
    </w:p>
    <w:p>
      <w:pPr>
        <w:pStyle w:val="Compact"/>
        <w:numPr>
          <w:ilvl w:val="0"/>
          <w:numId w:val="1004"/>
        </w:numPr>
      </w:pPr>
      <w:r>
        <w:rPr>
          <w:b/>
          <w:bCs/>
        </w:rPr>
        <w:t xml:space="preserve">Record supervision even when nothing happens.</w:t>
      </w:r>
      <w:r>
        <w:t xml:space="preserve"> </w:t>
      </w:r>
      <w:r>
        <w:t xml:space="preserve">A welfare check that finds nothing wrong is still supervision. The cover arrangements in B4, with the call-out log in B2, show that oversight is in place (Chapter 6, 6.6).</w:t>
      </w:r>
    </w:p>
    <w:p>
      <w:pPr>
        <w:pStyle w:val="Compact"/>
        <w:numPr>
          <w:ilvl w:val="0"/>
          <w:numId w:val="1004"/>
        </w:numPr>
      </w:pPr>
      <w:r>
        <w:rPr>
          <w:b/>
          <w:bCs/>
        </w:rPr>
        <w:t xml:space="preserve">Keep records secure,</w:t>
      </w:r>
      <w:r>
        <w:t xml:space="preserve"> </w:t>
      </w:r>
      <w:r>
        <w:t xml:space="preserve">in line with the provider's data protection and retention policies, and for long enough to deal with any review, appeal or overpayment question.</w:t>
      </w:r>
    </w:p>
    <w:p>
      <w:pPr>
        <w:pStyle w:val="FirstParagraph"/>
      </w:pPr>
      <w:r>
        <w:rPr>
          <w:b/>
          <w:bCs/>
        </w:rPr>
        <w:t xml:space="preserve">For councils:</w:t>
      </w:r>
    </w:p>
    <w:p>
      <w:pPr>
        <w:pStyle w:val="Compact"/>
        <w:numPr>
          <w:ilvl w:val="0"/>
          <w:numId w:val="1005"/>
        </w:numPr>
      </w:pPr>
      <w:r>
        <w:rPr>
          <w:b/>
          <w:bCs/>
        </w:rPr>
        <w:t xml:space="preserve">Ask for the summary first.</w:t>
      </w:r>
      <w:r>
        <w:t xml:space="preserve"> </w:t>
      </w:r>
      <w:r>
        <w:t xml:space="preserve">Ask for the logs only where a specific question cannot be answered from the summary, and say why (Chapter 12, 12.4).</w:t>
      </w:r>
    </w:p>
    <w:p>
      <w:pPr>
        <w:pStyle w:val="Compact"/>
        <w:numPr>
          <w:ilvl w:val="0"/>
          <w:numId w:val="1005"/>
        </w:numPr>
      </w:pPr>
      <w:r>
        <w:rPr>
          <w:b/>
          <w:bCs/>
        </w:rPr>
        <w:t xml:space="preserve">Use sampling.</w:t>
      </w:r>
      <w:r>
        <w:t xml:space="preserve"> </w:t>
      </w:r>
      <w:r>
        <w:t xml:space="preserve">At a scheme where tenants' needs and support are broadly similar, a sample of summaries can show whether the scheme operates as described, without asking for records on every claim (CH/1289/2007, para 32; Chapter 14, 14.6).</w:t>
      </w:r>
    </w:p>
    <w:p>
      <w:pPr>
        <w:pStyle w:val="Compact"/>
        <w:numPr>
          <w:ilvl w:val="0"/>
          <w:numId w:val="1005"/>
        </w:numPr>
      </w:pPr>
      <w:r>
        <w:rPr>
          <w:b/>
          <w:bCs/>
        </w:rPr>
        <w:t xml:space="preserve">Read the record as a whole.</w:t>
      </w:r>
      <w:r>
        <w:t xml:space="preserve"> </w:t>
      </w:r>
      <w:r>
        <w:t xml:space="preserve">A quiet month, or a low number of call-outs, does not show that support is not needed. Supervision that works may result in few incidents. But a service that is very rarely used over a long period may indicate that it is not more than minimal (R(H) 4/09; Chapter 15, 15.5).</w:t>
      </w:r>
    </w:p>
    <w:p>
      <w:pPr>
        <w:pStyle w:val="Compact"/>
        <w:numPr>
          <w:ilvl w:val="0"/>
          <w:numId w:val="1005"/>
        </w:numPr>
      </w:pPr>
      <w:r>
        <w:rPr>
          <w:b/>
          <w:bCs/>
        </w:rPr>
        <w:t xml:space="preserve">Do not apply an hours threshold</w:t>
      </w:r>
      <w:r>
        <w:t xml:space="preserve"> </w:t>
      </w:r>
      <w:r>
        <w:t xml:space="preserve">(DWP guidance, para 151).</w:t>
      </w:r>
    </w:p>
    <w:bookmarkEnd w:id="18"/>
    <w:bookmarkStart w:id="22" w:name="part-e-worked-example"/>
    <w:p>
      <w:pPr>
        <w:pStyle w:val="Heading2"/>
        <w:pageBreakBefore/>
        <w:pBdr>
          <w:bottom w:val="single" w:sz="12" w:space="4" w:color="FF9202"/>
        </w:pBdr>
      </w:pPr>
      <w:r>
        <w:t xml:space="preserve">Part E: Worked example</w:t>
      </w:r>
    </w:p>
    <w:p>
      <w:pPr>
        <w:pStyle w:val="FirstParagraph"/>
      </w:pPr>
      <w:r>
        <w:t xml:space="preserve">This example is fictional. It continues the example in Appendix 6: a tenant in a five-bedroom shared house for single homeless adults, with weekday visiting staff and 24-hour on-call cover. It shows one month, the second month of the tenancy.</w:t>
      </w:r>
    </w:p>
    <w:bookmarkStart w:id="19" w:name="e1-tenant-activity-log-extract"/>
    <w:p>
      <w:pPr>
        <w:pStyle w:val="Heading3"/>
      </w:pPr>
      <w:r>
        <w:t xml:space="preserve">E1. Tenant activity log (extract)</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1028"/>
        <w:gridCol w:w="3554"/>
        <w:gridCol w:w="841"/>
        <w:gridCol w:w="1403"/>
        <w:gridCol w:w="2525"/>
      </w:tblGrid>
      <w:tr>
        <w:trPr>
          <w:tblHeader w:val="on"/>
          <w:cantSplit/>
          <w:tblHeader w:val="true"/>
        </w:trPr>
        <w:tc>
          <w:tcPr>
            <w:tcW w:type="dxa" w:w="1028"/>
            <w:shd w:val="clear" w:color="auto" w:fill="002F6D"/>
          </w:tcPr>
          <w:p>
            <w:pPr>
              <w:pStyle w:val="Compact"/>
            </w:pPr>
            <w:r>
              <w:rPr>
                <w:b/>
                <w:color w:val="FFFFFF"/>
              </w:rPr>
              <w:t xml:space="preserve">Date</w:t>
            </w:r>
          </w:p>
        </w:tc>
        <w:tc>
          <w:tcPr>
            <w:tcW w:type="dxa" w:w="3554"/>
            <w:shd w:val="clear" w:color="auto" w:fill="002F6D"/>
          </w:tcPr>
          <w:p>
            <w:pPr>
              <w:pStyle w:val="Compact"/>
            </w:pPr>
            <w:r>
              <w:rPr>
                <w:b/>
                <w:color w:val="FFFFFF"/>
              </w:rPr>
              <w:t xml:space="preserve">Activity and plan need</w:t>
            </w:r>
          </w:p>
        </w:tc>
        <w:tc>
          <w:tcPr>
            <w:tcW w:type="dxa" w:w="841"/>
            <w:shd w:val="clear" w:color="auto" w:fill="002F6D"/>
          </w:tcPr>
          <w:p>
            <w:pPr>
              <w:pStyle w:val="Compact"/>
            </w:pPr>
            <w:r>
              <w:rPr>
                <w:b/>
                <w:color w:val="FFFFFF"/>
              </w:rPr>
              <w:t xml:space="preserve">Type</w:t>
            </w:r>
          </w:p>
        </w:tc>
        <w:tc>
          <w:tcPr>
            <w:tcW w:type="dxa" w:w="1403"/>
            <w:shd w:val="clear" w:color="auto" w:fill="002F6D"/>
          </w:tcPr>
          <w:p>
            <w:pPr>
              <w:pStyle w:val="Compact"/>
            </w:pPr>
            <w:r>
              <w:rPr>
                <w:b/>
                <w:color w:val="FFFFFF"/>
              </w:rPr>
              <w:t xml:space="preserve">By</w:t>
            </w:r>
          </w:p>
        </w:tc>
        <w:tc>
          <w:tcPr>
            <w:tcW w:type="dxa" w:w="2525"/>
            <w:shd w:val="clear" w:color="auto" w:fill="002F6D"/>
          </w:tcPr>
          <w:p>
            <w:pPr>
              <w:pStyle w:val="Compact"/>
            </w:pPr>
            <w:r>
              <w:rPr>
                <w:b/>
                <w:color w:val="FFFFFF"/>
              </w:rPr>
              <w:t xml:space="preserve">Outcome and follow-up</w:t>
            </w:r>
          </w:p>
        </w:tc>
      </w:tr>
      <w:tr>
        <w:trPr>
          <w:cantSplit/>
        </w:trPr>
        <w:tc>
          <w:tcPr>
            <w:tcW w:type="dxa" w:w="1028"/>
          </w:tcPr>
          <w:p>
            <w:pPr>
              <w:pStyle w:val="Compact"/>
            </w:pPr>
            <w:r>
              <w:t xml:space="preserve">2 March</w:t>
            </w:r>
          </w:p>
        </w:tc>
        <w:tc>
          <w:tcPr>
            <w:tcW w:type="dxa" w:w="3554"/>
          </w:tcPr>
          <w:p>
            <w:pPr>
              <w:pStyle w:val="Compact"/>
            </w:pPr>
            <w:r>
              <w:t xml:space="preserve">Weekly session: checked rent account; helped report a change in income to Housing Benefit (plan: arrears risk)</w:t>
            </w:r>
          </w:p>
        </w:tc>
        <w:tc>
          <w:tcPr>
            <w:tcW w:type="dxa" w:w="841"/>
          </w:tcPr>
          <w:p>
            <w:pPr>
              <w:pStyle w:val="Compact"/>
            </w:pPr>
            <w:r>
              <w:t xml:space="preserve">HRS</w:t>
            </w:r>
          </w:p>
        </w:tc>
        <w:tc>
          <w:tcPr>
            <w:tcW w:type="dxa" w:w="1403"/>
          </w:tcPr>
          <w:p>
            <w:pPr>
              <w:pStyle w:val="Compact"/>
            </w:pPr>
            <w:r>
              <w:t xml:space="preserve">Support worker</w:t>
            </w:r>
          </w:p>
        </w:tc>
        <w:tc>
          <w:tcPr>
            <w:tcW w:type="dxa" w:w="2525"/>
          </w:tcPr>
          <w:p>
            <w:pPr>
              <w:pStyle w:val="Compact"/>
            </w:pPr>
            <w:r>
              <w:t xml:space="preserve">Change reported; rent account clear</w:t>
            </w:r>
          </w:p>
        </w:tc>
      </w:tr>
      <w:tr>
        <w:trPr>
          <w:cantSplit/>
        </w:trPr>
        <w:tc>
          <w:tcPr>
            <w:tcW w:type="dxa" w:w="1028"/>
            <w:shd w:val="clear" w:color="auto" w:fill="E6ECF4"/>
          </w:tcPr>
          <w:p>
            <w:pPr>
              <w:pStyle w:val="Compact"/>
            </w:pPr>
            <w:r>
              <w:t xml:space="preserve">2 March</w:t>
            </w:r>
          </w:p>
        </w:tc>
        <w:tc>
          <w:tcPr>
            <w:tcW w:type="dxa" w:w="3554"/>
            <w:shd w:val="clear" w:color="auto" w:fill="E6ECF4"/>
          </w:tcPr>
          <w:p>
            <w:pPr>
              <w:pStyle w:val="Compact"/>
            </w:pPr>
            <w:r>
              <w:t xml:space="preserve">Talked through cooking on a budget (plan: living skills)</w:t>
            </w:r>
          </w:p>
        </w:tc>
        <w:tc>
          <w:tcPr>
            <w:tcW w:type="dxa" w:w="841"/>
            <w:shd w:val="clear" w:color="auto" w:fill="E6ECF4"/>
          </w:tcPr>
          <w:p>
            <w:pPr>
              <w:pStyle w:val="Compact"/>
            </w:pPr>
            <w:r>
              <w:t xml:space="preserve">CPS</w:t>
            </w:r>
          </w:p>
        </w:tc>
        <w:tc>
          <w:tcPr>
            <w:tcW w:type="dxa" w:w="1403"/>
            <w:shd w:val="clear" w:color="auto" w:fill="E6ECF4"/>
          </w:tcPr>
          <w:p>
            <w:pPr>
              <w:pStyle w:val="Compact"/>
            </w:pPr>
            <w:r>
              <w:t xml:space="preserve">Support worker</w:t>
            </w:r>
          </w:p>
        </w:tc>
        <w:tc>
          <w:tcPr>
            <w:tcW w:type="dxa" w:w="2525"/>
            <w:shd w:val="clear" w:color="auto" w:fill="E6ECF4"/>
          </w:tcPr>
          <w:p>
            <w:pPr>
              <w:pStyle w:val="Compact"/>
            </w:pPr>
            <w:r>
              <w:t xml:space="preserve">Tenant to try two meals this week</w:t>
            </w:r>
          </w:p>
        </w:tc>
      </w:tr>
      <w:tr>
        <w:trPr>
          <w:cantSplit/>
        </w:trPr>
        <w:tc>
          <w:tcPr>
            <w:tcW w:type="dxa" w:w="1028"/>
          </w:tcPr>
          <w:p>
            <w:pPr>
              <w:pStyle w:val="Compact"/>
            </w:pPr>
            <w:r>
              <w:t xml:space="preserve">5 March</w:t>
            </w:r>
          </w:p>
        </w:tc>
        <w:tc>
          <w:tcPr>
            <w:tcW w:type="dxa" w:w="3554"/>
          </w:tcPr>
          <w:p>
            <w:pPr>
              <w:pStyle w:val="Compact"/>
            </w:pPr>
            <w:r>
              <w:t xml:space="preserve">Room and fire safety check; cigarette burns on carpet and clutter near heater; agreed plan to clear hazards (plan: upkeep and fire risk)</w:t>
            </w:r>
          </w:p>
        </w:tc>
        <w:tc>
          <w:tcPr>
            <w:tcW w:type="dxa" w:w="841"/>
          </w:tcPr>
          <w:p>
            <w:pPr>
              <w:pStyle w:val="Compact"/>
            </w:pPr>
            <w:r>
              <w:t xml:space="preserve">IHM</w:t>
            </w:r>
          </w:p>
        </w:tc>
        <w:tc>
          <w:tcPr>
            <w:tcW w:type="dxa" w:w="1403"/>
          </w:tcPr>
          <w:p>
            <w:pPr>
              <w:pStyle w:val="Compact"/>
            </w:pPr>
            <w:r>
              <w:t xml:space="preserve">Housing officer</w:t>
            </w:r>
          </w:p>
        </w:tc>
        <w:tc>
          <w:tcPr>
            <w:tcW w:type="dxa" w:w="2525"/>
          </w:tcPr>
          <w:p>
            <w:pPr>
              <w:pStyle w:val="Compact"/>
            </w:pPr>
            <w:r>
              <w:t xml:space="preserve">Hazards cleared same day; carpet repair ordered</w:t>
            </w:r>
          </w:p>
        </w:tc>
      </w:tr>
      <w:tr>
        <w:trPr>
          <w:cantSplit/>
        </w:trPr>
        <w:tc>
          <w:tcPr>
            <w:tcW w:type="dxa" w:w="1028"/>
            <w:shd w:val="clear" w:color="auto" w:fill="E6ECF4"/>
          </w:tcPr>
          <w:p>
            <w:pPr>
              <w:pStyle w:val="Compact"/>
            </w:pPr>
            <w:r>
              <w:t xml:space="preserve">9 March</w:t>
            </w:r>
          </w:p>
        </w:tc>
        <w:tc>
          <w:tcPr>
            <w:tcW w:type="dxa" w:w="3554"/>
            <w:shd w:val="clear" w:color="auto" w:fill="E6ECF4"/>
          </w:tcPr>
          <w:p>
            <w:pPr>
              <w:pStyle w:val="Compact"/>
            </w:pPr>
            <w:r>
              <w:t xml:space="preserve">Weekly session: tenant missed; visited later and rearranged (plan: all needs)</w:t>
            </w:r>
          </w:p>
        </w:tc>
        <w:tc>
          <w:tcPr>
            <w:tcW w:type="dxa" w:w="841"/>
            <w:shd w:val="clear" w:color="auto" w:fill="E6ECF4"/>
          </w:tcPr>
          <w:p>
            <w:pPr>
              <w:pStyle w:val="Compact"/>
            </w:pPr>
            <w:r>
              <w:t xml:space="preserve">HRS</w:t>
            </w:r>
          </w:p>
        </w:tc>
        <w:tc>
          <w:tcPr>
            <w:tcW w:type="dxa" w:w="1403"/>
            <w:shd w:val="clear" w:color="auto" w:fill="E6ECF4"/>
          </w:tcPr>
          <w:p>
            <w:pPr>
              <w:pStyle w:val="Compact"/>
            </w:pPr>
            <w:r>
              <w:t xml:space="preserve">Support worker</w:t>
            </w:r>
          </w:p>
        </w:tc>
        <w:tc>
          <w:tcPr>
            <w:tcW w:type="dxa" w:w="2525"/>
            <w:shd w:val="clear" w:color="auto" w:fill="E6ECF4"/>
          </w:tcPr>
          <w:p>
            <w:pPr>
              <w:pStyle w:val="Compact"/>
            </w:pPr>
            <w:r>
              <w:t xml:space="preserve">Session held 10 March</w:t>
            </w:r>
          </w:p>
        </w:tc>
      </w:tr>
      <w:tr>
        <w:trPr>
          <w:cantSplit/>
        </w:trPr>
        <w:tc>
          <w:tcPr>
            <w:tcW w:type="dxa" w:w="1028"/>
          </w:tcPr>
          <w:p>
            <w:pPr>
              <w:pStyle w:val="Compact"/>
            </w:pPr>
            <w:r>
              <w:t xml:space="preserve">10 March</w:t>
            </w:r>
          </w:p>
        </w:tc>
        <w:tc>
          <w:tcPr>
            <w:tcW w:type="dxa" w:w="3554"/>
          </w:tcPr>
          <w:p>
            <w:pPr>
              <w:pStyle w:val="Compact"/>
            </w:pPr>
            <w:r>
              <w:t xml:space="preserve">Weekly session: anxiety about a letter from a creditor; explained it and agreed next steps (plan: arrears risk)</w:t>
            </w:r>
          </w:p>
        </w:tc>
        <w:tc>
          <w:tcPr>
            <w:tcW w:type="dxa" w:w="841"/>
          </w:tcPr>
          <w:p>
            <w:pPr>
              <w:pStyle w:val="Compact"/>
            </w:pPr>
            <w:r>
              <w:t xml:space="preserve">HRS</w:t>
            </w:r>
          </w:p>
        </w:tc>
        <w:tc>
          <w:tcPr>
            <w:tcW w:type="dxa" w:w="1403"/>
          </w:tcPr>
          <w:p>
            <w:pPr>
              <w:pStyle w:val="Compact"/>
            </w:pPr>
            <w:r>
              <w:t xml:space="preserve">Support worker</w:t>
            </w:r>
          </w:p>
        </w:tc>
        <w:tc>
          <w:tcPr>
            <w:tcW w:type="dxa" w:w="2525"/>
          </w:tcPr>
          <w:p>
            <w:pPr>
              <w:pStyle w:val="Compact"/>
            </w:pPr>
            <w:r>
              <w:t xml:space="preserve">Tenant to take the letter to an advice service</w:t>
            </w:r>
          </w:p>
        </w:tc>
      </w:tr>
      <w:tr>
        <w:trPr>
          <w:cantSplit/>
        </w:trPr>
        <w:tc>
          <w:tcPr>
            <w:tcW w:type="dxa" w:w="1028"/>
            <w:shd w:val="clear" w:color="auto" w:fill="E6ECF4"/>
          </w:tcPr>
          <w:p>
            <w:pPr>
              <w:pStyle w:val="Compact"/>
            </w:pPr>
            <w:r>
              <w:t xml:space="preserve">12 March</w:t>
            </w:r>
          </w:p>
        </w:tc>
        <w:tc>
          <w:tcPr>
            <w:tcW w:type="dxa" w:w="3554"/>
            <w:shd w:val="clear" w:color="auto" w:fill="E6ECF4"/>
          </w:tcPr>
          <w:p>
            <w:pPr>
              <w:pStyle w:val="Compact"/>
            </w:pPr>
            <w:r>
              <w:t xml:space="preserve">Former associate visiting the house repeatedly; spoke to tenant and visitor; reminded of visitor rules (plan: exploitation risk)</w:t>
            </w:r>
          </w:p>
        </w:tc>
        <w:tc>
          <w:tcPr>
            <w:tcW w:type="dxa" w:w="841"/>
            <w:shd w:val="clear" w:color="auto" w:fill="E6ECF4"/>
          </w:tcPr>
          <w:p>
            <w:pPr>
              <w:pStyle w:val="Compact"/>
            </w:pPr>
            <w:r>
              <w:t xml:space="preserve">SUP</w:t>
            </w:r>
          </w:p>
        </w:tc>
        <w:tc>
          <w:tcPr>
            <w:tcW w:type="dxa" w:w="1403"/>
            <w:shd w:val="clear" w:color="auto" w:fill="E6ECF4"/>
          </w:tcPr>
          <w:p>
            <w:pPr>
              <w:pStyle w:val="Compact"/>
            </w:pPr>
            <w:r>
              <w:t xml:space="preserve">Scheme staff</w:t>
            </w:r>
          </w:p>
        </w:tc>
        <w:tc>
          <w:tcPr>
            <w:tcW w:type="dxa" w:w="2525"/>
            <w:shd w:val="clear" w:color="auto" w:fill="E6ECF4"/>
          </w:tcPr>
          <w:p>
            <w:pPr>
              <w:pStyle w:val="Compact"/>
            </w:pPr>
            <w:r>
              <w:t xml:space="preserve">Visitor left; tenant agreed to tell staff if pressured</w:t>
            </w:r>
          </w:p>
        </w:tc>
      </w:tr>
      <w:tr>
        <w:trPr>
          <w:cantSplit/>
        </w:trPr>
        <w:tc>
          <w:tcPr>
            <w:tcW w:type="dxa" w:w="1028"/>
          </w:tcPr>
          <w:p>
            <w:pPr>
              <w:pStyle w:val="Compact"/>
            </w:pPr>
            <w:r>
              <w:t xml:space="preserve">14 March</w:t>
            </w:r>
          </w:p>
        </w:tc>
        <w:tc>
          <w:tcPr>
            <w:tcW w:type="dxa" w:w="3554"/>
          </w:tcPr>
          <w:p>
            <w:pPr>
              <w:pStyle w:val="Compact"/>
            </w:pPr>
            <w:r>
              <w:t xml:space="preserve">Welfare check after the previous night's incident (plan: relapse and crisis)</w:t>
            </w:r>
          </w:p>
        </w:tc>
        <w:tc>
          <w:tcPr>
            <w:tcW w:type="dxa" w:w="841"/>
          </w:tcPr>
          <w:p>
            <w:pPr>
              <w:pStyle w:val="Compact"/>
            </w:pPr>
            <w:r>
              <w:t xml:space="preserve">SUP</w:t>
            </w:r>
          </w:p>
        </w:tc>
        <w:tc>
          <w:tcPr>
            <w:tcW w:type="dxa" w:w="1403"/>
          </w:tcPr>
          <w:p>
            <w:pPr>
              <w:pStyle w:val="Compact"/>
            </w:pPr>
            <w:r>
              <w:t xml:space="preserve">On-call worker</w:t>
            </w:r>
          </w:p>
        </w:tc>
        <w:tc>
          <w:tcPr>
            <w:tcW w:type="dxa" w:w="2525"/>
          </w:tcPr>
          <w:p>
            <w:pPr>
              <w:pStyle w:val="Compact"/>
            </w:pPr>
            <w:r>
              <w:t xml:space="preserve">Tenant safe; relapse plan reviewed</w:t>
            </w:r>
          </w:p>
        </w:tc>
      </w:tr>
      <w:tr>
        <w:trPr>
          <w:cantSplit/>
        </w:trPr>
        <w:tc>
          <w:tcPr>
            <w:tcW w:type="dxa" w:w="1028"/>
            <w:shd w:val="clear" w:color="auto" w:fill="E6ECF4"/>
          </w:tcPr>
          <w:p>
            <w:pPr>
              <w:pStyle w:val="Compact"/>
            </w:pPr>
            <w:r>
              <w:t xml:space="preserve">16 March</w:t>
            </w:r>
          </w:p>
        </w:tc>
        <w:tc>
          <w:tcPr>
            <w:tcW w:type="dxa" w:w="3554"/>
            <w:shd w:val="clear" w:color="auto" w:fill="E6ECF4"/>
          </w:tcPr>
          <w:p>
            <w:pPr>
              <w:pStyle w:val="Compact"/>
            </w:pPr>
            <w:r>
              <w:t xml:space="preserve">Weekly session: rent account; preparing for a GP appointment (plan: arrears risk; living skills)</w:t>
            </w:r>
          </w:p>
        </w:tc>
        <w:tc>
          <w:tcPr>
            <w:tcW w:type="dxa" w:w="841"/>
            <w:shd w:val="clear" w:color="auto" w:fill="E6ECF4"/>
          </w:tcPr>
          <w:p>
            <w:pPr>
              <w:pStyle w:val="Compact"/>
            </w:pPr>
            <w:r>
              <w:t xml:space="preserve">HRS, CPS</w:t>
            </w:r>
          </w:p>
        </w:tc>
        <w:tc>
          <w:tcPr>
            <w:tcW w:type="dxa" w:w="1403"/>
            <w:shd w:val="clear" w:color="auto" w:fill="E6ECF4"/>
          </w:tcPr>
          <w:p>
            <w:pPr>
              <w:pStyle w:val="Compact"/>
            </w:pPr>
            <w:r>
              <w:t xml:space="preserve">Support worker</w:t>
            </w:r>
          </w:p>
        </w:tc>
        <w:tc>
          <w:tcPr>
            <w:tcW w:type="dxa" w:w="2525"/>
            <w:shd w:val="clear" w:color="auto" w:fill="E6ECF4"/>
          </w:tcPr>
          <w:p>
            <w:pPr>
              <w:pStyle w:val="Compact"/>
            </w:pPr>
            <w:r>
              <w:t xml:space="preserve">Rent clear; tenant attended GP</w:t>
            </w:r>
          </w:p>
        </w:tc>
      </w:tr>
      <w:tr>
        <w:trPr>
          <w:cantSplit/>
        </w:trPr>
        <w:tc>
          <w:tcPr>
            <w:tcW w:type="dxa" w:w="1028"/>
          </w:tcPr>
          <w:p>
            <w:pPr>
              <w:pStyle w:val="Compact"/>
            </w:pPr>
            <w:r>
              <w:t xml:space="preserve">19 March</w:t>
            </w:r>
          </w:p>
        </w:tc>
        <w:tc>
          <w:tcPr>
            <w:tcW w:type="dxa" w:w="3554"/>
          </w:tcPr>
          <w:p>
            <w:pPr>
              <w:pStyle w:val="Compact"/>
            </w:pPr>
            <w:r>
              <w:t xml:space="preserve">Carpet repaired; tenant anxious, so contractor visit arranged for when the support worker was present (plan: anxiety about contractors)</w:t>
            </w:r>
          </w:p>
        </w:tc>
        <w:tc>
          <w:tcPr>
            <w:tcW w:type="dxa" w:w="841"/>
          </w:tcPr>
          <w:p>
            <w:pPr>
              <w:pStyle w:val="Compact"/>
            </w:pPr>
            <w:r>
              <w:t xml:space="preserve">IHM</w:t>
            </w:r>
          </w:p>
        </w:tc>
        <w:tc>
          <w:tcPr>
            <w:tcW w:type="dxa" w:w="1403"/>
          </w:tcPr>
          <w:p>
            <w:pPr>
              <w:pStyle w:val="Compact"/>
            </w:pPr>
            <w:r>
              <w:t xml:space="preserve">Housing officer</w:t>
            </w:r>
          </w:p>
        </w:tc>
        <w:tc>
          <w:tcPr>
            <w:tcW w:type="dxa" w:w="2525"/>
          </w:tcPr>
          <w:p>
            <w:pPr>
              <w:pStyle w:val="Compact"/>
            </w:pPr>
            <w:r>
              <w:t xml:space="preserve">Repair completed without distress</w:t>
            </w:r>
          </w:p>
        </w:tc>
      </w:tr>
      <w:tr>
        <w:trPr>
          <w:cantSplit/>
        </w:trPr>
        <w:tc>
          <w:tcPr>
            <w:tcW w:type="dxa" w:w="1028"/>
            <w:shd w:val="clear" w:color="auto" w:fill="E6ECF4"/>
          </w:tcPr>
          <w:p>
            <w:pPr>
              <w:pStyle w:val="Compact"/>
            </w:pPr>
            <w:r>
              <w:t xml:space="preserve">23 March</w:t>
            </w:r>
          </w:p>
        </w:tc>
        <w:tc>
          <w:tcPr>
            <w:tcW w:type="dxa" w:w="3554"/>
            <w:shd w:val="clear" w:color="auto" w:fill="E6ECF4"/>
          </w:tcPr>
          <w:p>
            <w:pPr>
              <w:pStyle w:val="Compact"/>
            </w:pPr>
            <w:r>
              <w:t xml:space="preserve">Weekly session and fortnightly room check (plan: arrears risk; upkeep and fire risk)</w:t>
            </w:r>
          </w:p>
        </w:tc>
        <w:tc>
          <w:tcPr>
            <w:tcW w:type="dxa" w:w="841"/>
            <w:shd w:val="clear" w:color="auto" w:fill="E6ECF4"/>
          </w:tcPr>
          <w:p>
            <w:pPr>
              <w:pStyle w:val="Compact"/>
            </w:pPr>
            <w:r>
              <w:t xml:space="preserve">HRS, IHM</w:t>
            </w:r>
          </w:p>
        </w:tc>
        <w:tc>
          <w:tcPr>
            <w:tcW w:type="dxa" w:w="1403"/>
            <w:shd w:val="clear" w:color="auto" w:fill="E6ECF4"/>
          </w:tcPr>
          <w:p>
            <w:pPr>
              <w:pStyle w:val="Compact"/>
            </w:pPr>
            <w:r>
              <w:t xml:space="preserve">Support worker, housing officer</w:t>
            </w:r>
          </w:p>
        </w:tc>
        <w:tc>
          <w:tcPr>
            <w:tcW w:type="dxa" w:w="2525"/>
            <w:shd w:val="clear" w:color="auto" w:fill="E6ECF4"/>
          </w:tcPr>
          <w:p>
            <w:pPr>
              <w:pStyle w:val="Compact"/>
            </w:pPr>
            <w:r>
              <w:t xml:space="preserve">Room safe; no new hazards</w:t>
            </w:r>
          </w:p>
        </w:tc>
      </w:tr>
      <w:tr>
        <w:trPr>
          <w:cantSplit/>
        </w:trPr>
        <w:tc>
          <w:tcPr>
            <w:tcW w:type="dxa" w:w="1028"/>
          </w:tcPr>
          <w:p>
            <w:pPr>
              <w:pStyle w:val="Compact"/>
            </w:pPr>
            <w:r>
              <w:t xml:space="preserve">30 March</w:t>
            </w:r>
          </w:p>
        </w:tc>
        <w:tc>
          <w:tcPr>
            <w:tcW w:type="dxa" w:w="3554"/>
          </w:tcPr>
          <w:p>
            <w:pPr>
              <w:pStyle w:val="Compact"/>
            </w:pPr>
            <w:r>
              <w:t xml:space="preserve">Weekly session; talked about move-on goals (plan: move-on)</w:t>
            </w:r>
          </w:p>
        </w:tc>
        <w:tc>
          <w:tcPr>
            <w:tcW w:type="dxa" w:w="841"/>
          </w:tcPr>
          <w:p>
            <w:pPr>
              <w:pStyle w:val="Compact"/>
            </w:pPr>
            <w:r>
              <w:t xml:space="preserve">HRS</w:t>
            </w:r>
          </w:p>
        </w:tc>
        <w:tc>
          <w:tcPr>
            <w:tcW w:type="dxa" w:w="1403"/>
          </w:tcPr>
          <w:p>
            <w:pPr>
              <w:pStyle w:val="Compact"/>
            </w:pPr>
            <w:r>
              <w:t xml:space="preserve">Support worker</w:t>
            </w:r>
          </w:p>
        </w:tc>
        <w:tc>
          <w:tcPr>
            <w:tcW w:type="dxa" w:w="2525"/>
          </w:tcPr>
          <w:p>
            <w:pPr>
              <w:pStyle w:val="Compact"/>
            </w:pPr>
            <w:r>
              <w:t xml:space="preserve">Move-on discussed at next review</w:t>
            </w:r>
          </w:p>
        </w:tc>
      </w:tr>
    </w:tbl>
    <w:bookmarkEnd w:id="19"/>
    <w:bookmarkStart w:id="20" w:name="e2-call-out-log-extract"/>
    <w:p>
      <w:pPr>
        <w:pStyle w:val="Heading3"/>
      </w:pPr>
      <w:r>
        <w:t xml:space="preserve">E2. Call-out log (extract)</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1403"/>
        <w:gridCol w:w="1403"/>
        <w:gridCol w:w="2525"/>
        <w:gridCol w:w="2151"/>
        <w:gridCol w:w="1870"/>
      </w:tblGrid>
      <w:tr>
        <w:trPr>
          <w:tblHeader w:val="on"/>
          <w:cantSplit/>
          <w:tblHeader w:val="true"/>
        </w:trPr>
        <w:tc>
          <w:tcPr>
            <w:tcW w:type="dxa" w:w="1403"/>
            <w:shd w:val="clear" w:color="auto" w:fill="002F6D"/>
          </w:tcPr>
          <w:p>
            <w:pPr>
              <w:pStyle w:val="Compact"/>
            </w:pPr>
            <w:r>
              <w:rPr>
                <w:b/>
                <w:color w:val="FFFFFF"/>
              </w:rPr>
              <w:t xml:space="preserve">Date and time</w:t>
            </w:r>
          </w:p>
        </w:tc>
        <w:tc>
          <w:tcPr>
            <w:tcW w:type="dxa" w:w="1403"/>
            <w:shd w:val="clear" w:color="auto" w:fill="002F6D"/>
          </w:tcPr>
          <w:p>
            <w:pPr>
              <w:pStyle w:val="Compact"/>
            </w:pPr>
            <w:r>
              <w:rPr>
                <w:b/>
                <w:color w:val="FFFFFF"/>
              </w:rPr>
              <w:t xml:space="preserve">Tenant or area</w:t>
            </w:r>
          </w:p>
        </w:tc>
        <w:tc>
          <w:tcPr>
            <w:tcW w:type="dxa" w:w="2525"/>
            <w:shd w:val="clear" w:color="auto" w:fill="002F6D"/>
          </w:tcPr>
          <w:p>
            <w:pPr>
              <w:pStyle w:val="Compact"/>
            </w:pPr>
            <w:r>
              <w:rPr>
                <w:b/>
                <w:color w:val="FFFFFF"/>
              </w:rPr>
              <w:t xml:space="preserve">Nature of call or concern</w:t>
            </w:r>
          </w:p>
        </w:tc>
        <w:tc>
          <w:tcPr>
            <w:tcW w:type="dxa" w:w="2151"/>
            <w:shd w:val="clear" w:color="auto" w:fill="002F6D"/>
          </w:tcPr>
          <w:p>
            <w:pPr>
              <w:pStyle w:val="Compact"/>
            </w:pPr>
            <w:r>
              <w:rPr>
                <w:b/>
                <w:color w:val="FFFFFF"/>
              </w:rPr>
              <w:t xml:space="preserve">Response</w:t>
            </w:r>
          </w:p>
        </w:tc>
        <w:tc>
          <w:tcPr>
            <w:tcW w:type="dxa" w:w="1870"/>
            <w:shd w:val="clear" w:color="auto" w:fill="002F6D"/>
          </w:tcPr>
          <w:p>
            <w:pPr>
              <w:pStyle w:val="Compact"/>
            </w:pPr>
            <w:r>
              <w:rPr>
                <w:b/>
                <w:color w:val="FFFFFF"/>
              </w:rPr>
              <w:t xml:space="preserve">Outcome</w:t>
            </w:r>
          </w:p>
        </w:tc>
      </w:tr>
      <w:tr>
        <w:trPr>
          <w:cantSplit/>
        </w:trPr>
        <w:tc>
          <w:tcPr>
            <w:tcW w:type="dxa" w:w="1403"/>
          </w:tcPr>
          <w:p>
            <w:pPr>
              <w:pStyle w:val="Compact"/>
            </w:pPr>
            <w:r>
              <w:t xml:space="preserve">13 March, 23:40</w:t>
            </w:r>
          </w:p>
        </w:tc>
        <w:tc>
          <w:tcPr>
            <w:tcW w:type="dxa" w:w="1403"/>
          </w:tcPr>
          <w:p>
            <w:pPr>
              <w:pStyle w:val="Compact"/>
            </w:pPr>
            <w:r>
              <w:t xml:space="preserve">Tenant, Room 3</w:t>
            </w:r>
          </w:p>
        </w:tc>
        <w:tc>
          <w:tcPr>
            <w:tcW w:type="dxa" w:w="2525"/>
          </w:tcPr>
          <w:p>
            <w:pPr>
              <w:pStyle w:val="Compact"/>
            </w:pPr>
            <w:r>
              <w:t xml:space="preserve">Another resident called on-call: tenant intoxicated and shouting in the hall</w:t>
            </w:r>
          </w:p>
        </w:tc>
        <w:tc>
          <w:tcPr>
            <w:tcW w:type="dxa" w:w="2151"/>
          </w:tcPr>
          <w:p>
            <w:pPr>
              <w:pStyle w:val="Compact"/>
            </w:pPr>
            <w:r>
              <w:t xml:space="preserve">On-call worker spoke to tenant by phone, then attended</w:t>
            </w:r>
          </w:p>
        </w:tc>
        <w:tc>
          <w:tcPr>
            <w:tcW w:type="dxa" w:w="1870"/>
          </w:tcPr>
          <w:p>
            <w:pPr>
              <w:pStyle w:val="Compact"/>
            </w:pPr>
            <w:r>
              <w:t xml:space="preserve">Tenant settled; no damage; welfare check booked for next day</w:t>
            </w:r>
          </w:p>
        </w:tc>
      </w:tr>
      <w:tr>
        <w:trPr>
          <w:cantSplit/>
        </w:trPr>
        <w:tc>
          <w:tcPr>
            <w:tcW w:type="dxa" w:w="1403"/>
            <w:shd w:val="clear" w:color="auto" w:fill="E6ECF4"/>
          </w:tcPr>
          <w:p>
            <w:pPr>
              <w:pStyle w:val="Compact"/>
            </w:pPr>
            <w:r>
              <w:t xml:space="preserve">27 March, 02:15</w:t>
            </w:r>
          </w:p>
        </w:tc>
        <w:tc>
          <w:tcPr>
            <w:tcW w:type="dxa" w:w="1403"/>
            <w:shd w:val="clear" w:color="auto" w:fill="E6ECF4"/>
          </w:tcPr>
          <w:p>
            <w:pPr>
              <w:pStyle w:val="Compact"/>
            </w:pPr>
            <w:r>
              <w:t xml:space="preserve">Communal area</w:t>
            </w:r>
          </w:p>
        </w:tc>
        <w:tc>
          <w:tcPr>
            <w:tcW w:type="dxa" w:w="2525"/>
            <w:shd w:val="clear" w:color="auto" w:fill="E6ECF4"/>
          </w:tcPr>
          <w:p>
            <w:pPr>
              <w:pStyle w:val="Compact"/>
            </w:pPr>
            <w:r>
              <w:t xml:space="preserve">Fire alarm activated by smoke from cooking</w:t>
            </w:r>
          </w:p>
        </w:tc>
        <w:tc>
          <w:tcPr>
            <w:tcW w:type="dxa" w:w="2151"/>
            <w:shd w:val="clear" w:color="auto" w:fill="E6ECF4"/>
          </w:tcPr>
          <w:p>
            <w:pPr>
              <w:pStyle w:val="Compact"/>
            </w:pPr>
            <w:r>
              <w:t xml:space="preserve">On-call worker attended and checked the house; alarm reset</w:t>
            </w:r>
          </w:p>
        </w:tc>
        <w:tc>
          <w:tcPr>
            <w:tcW w:type="dxa" w:w="1870"/>
            <w:shd w:val="clear" w:color="auto" w:fill="E6ECF4"/>
          </w:tcPr>
          <w:p>
            <w:pPr>
              <w:pStyle w:val="Compact"/>
            </w:pPr>
            <w:r>
              <w:t xml:space="preserve">No injury; reminder to residents about cooking safety</w:t>
            </w:r>
          </w:p>
        </w:tc>
      </w:tr>
    </w:tbl>
    <w:bookmarkEnd w:id="20"/>
    <w:bookmarkStart w:id="21" w:name="e3-summary-activity-record-for-march"/>
    <w:p>
      <w:pPr>
        <w:pStyle w:val="Heading3"/>
      </w:pPr>
      <w:r>
        <w:t xml:space="preserve">E3. Summary activity record for March</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2057"/>
        <w:gridCol w:w="3741"/>
        <w:gridCol w:w="1777"/>
        <w:gridCol w:w="1777"/>
      </w:tblGrid>
      <w:tr>
        <w:trPr>
          <w:tblHeader w:val="on"/>
          <w:cantSplit/>
          <w:tblHeader w:val="true"/>
        </w:trPr>
        <w:tc>
          <w:tcPr>
            <w:tcW w:type="dxa" w:w="2057"/>
            <w:shd w:val="clear" w:color="auto" w:fill="002F6D"/>
          </w:tcPr>
          <w:p>
            <w:pPr>
              <w:pStyle w:val="Compact"/>
            </w:pPr>
            <w:r>
              <w:rPr>
                <w:b/>
                <w:color w:val="FFFFFF"/>
              </w:rPr>
              <w:t xml:space="preserve">Type</w:t>
            </w:r>
          </w:p>
        </w:tc>
        <w:tc>
          <w:tcPr>
            <w:tcW w:type="dxa" w:w="3741"/>
            <w:shd w:val="clear" w:color="auto" w:fill="002F6D"/>
          </w:tcPr>
          <w:p>
            <w:pPr>
              <w:pStyle w:val="Compact"/>
            </w:pPr>
            <w:r>
              <w:rPr>
                <w:b/>
                <w:color w:val="FFFFFF"/>
              </w:rPr>
              <w:t xml:space="preserve">What was done in the period</w:t>
            </w:r>
          </w:p>
        </w:tc>
        <w:tc>
          <w:tcPr>
            <w:tcW w:type="dxa" w:w="1777"/>
            <w:shd w:val="clear" w:color="auto" w:fill="002F6D"/>
          </w:tcPr>
          <w:p>
            <w:pPr>
              <w:pStyle w:val="Compact"/>
            </w:pPr>
            <w:r>
              <w:rPr>
                <w:b/>
                <w:color w:val="FFFFFF"/>
              </w:rPr>
              <w:t xml:space="preserve">How often</w:t>
            </w:r>
          </w:p>
        </w:tc>
        <w:tc>
          <w:tcPr>
            <w:tcW w:type="dxa" w:w="1777"/>
            <w:shd w:val="clear" w:color="auto" w:fill="002F6D"/>
          </w:tcPr>
          <w:p>
            <w:pPr>
              <w:pStyle w:val="Compact"/>
            </w:pPr>
            <w:r>
              <w:rPr>
                <w:b/>
                <w:color w:val="FFFFFF"/>
              </w:rPr>
              <w:t xml:space="preserve">Records held</w:t>
            </w:r>
          </w:p>
        </w:tc>
      </w:tr>
      <w:tr>
        <w:trPr>
          <w:cantSplit/>
        </w:trPr>
        <w:tc>
          <w:tcPr>
            <w:tcW w:type="dxa" w:w="2057"/>
          </w:tcPr>
          <w:p>
            <w:pPr>
              <w:pStyle w:val="Compact"/>
            </w:pPr>
            <w:r>
              <w:t xml:space="preserve">HRS</w:t>
            </w:r>
          </w:p>
        </w:tc>
        <w:tc>
          <w:tcPr>
            <w:tcW w:type="dxa" w:w="3741"/>
          </w:tcPr>
          <w:p>
            <w:pPr>
              <w:pStyle w:val="Compact"/>
            </w:pPr>
            <w:r>
              <w:t xml:space="preserve">Tenancy sustainment sessions; rent account checks; Housing Benefit change report; help with a creditor letter; move-on planning</w:t>
            </w:r>
          </w:p>
        </w:tc>
        <w:tc>
          <w:tcPr>
            <w:tcW w:type="dxa" w:w="1777"/>
          </w:tcPr>
          <w:p>
            <w:pPr>
              <w:pStyle w:val="Compact"/>
            </w:pPr>
            <w:r>
              <w:t xml:space="preserve">Weekly (one rearranged)</w:t>
            </w:r>
          </w:p>
        </w:tc>
        <w:tc>
          <w:tcPr>
            <w:tcW w:type="dxa" w:w="1777"/>
          </w:tcPr>
          <w:p>
            <w:pPr>
              <w:pStyle w:val="Compact"/>
            </w:pPr>
            <w:r>
              <w:t xml:space="preserve">Tenant activity log</w:t>
            </w:r>
          </w:p>
        </w:tc>
      </w:tr>
      <w:tr>
        <w:trPr>
          <w:cantSplit/>
        </w:trPr>
        <w:tc>
          <w:tcPr>
            <w:tcW w:type="dxa" w:w="2057"/>
            <w:shd w:val="clear" w:color="auto" w:fill="E6ECF4"/>
          </w:tcPr>
          <w:p>
            <w:pPr>
              <w:pStyle w:val="Compact"/>
            </w:pPr>
            <w:r>
              <w:t xml:space="preserve">IHM</w:t>
            </w:r>
          </w:p>
        </w:tc>
        <w:tc>
          <w:tcPr>
            <w:tcW w:type="dxa" w:w="3741"/>
            <w:shd w:val="clear" w:color="auto" w:fill="E6ECF4"/>
          </w:tcPr>
          <w:p>
            <w:pPr>
              <w:pStyle w:val="Compact"/>
            </w:pPr>
            <w:r>
              <w:t xml:space="preserve">Room and fire safety checks; hazard plan; carpet repair arranged around tenant's anxiety</w:t>
            </w:r>
          </w:p>
        </w:tc>
        <w:tc>
          <w:tcPr>
            <w:tcW w:type="dxa" w:w="1777"/>
            <w:shd w:val="clear" w:color="auto" w:fill="E6ECF4"/>
          </w:tcPr>
          <w:p>
            <w:pPr>
              <w:pStyle w:val="Compact"/>
            </w:pPr>
            <w:r>
              <w:t xml:space="preserve">Fortnightly, and as needed</w:t>
            </w:r>
          </w:p>
        </w:tc>
        <w:tc>
          <w:tcPr>
            <w:tcW w:type="dxa" w:w="1777"/>
            <w:shd w:val="clear" w:color="auto" w:fill="E6ECF4"/>
          </w:tcPr>
          <w:p>
            <w:pPr>
              <w:pStyle w:val="Compact"/>
            </w:pPr>
            <w:r>
              <w:t xml:space="preserve">Tenant activity log; repairs log</w:t>
            </w:r>
          </w:p>
        </w:tc>
      </w:tr>
      <w:tr>
        <w:trPr>
          <w:cantSplit/>
        </w:trPr>
        <w:tc>
          <w:tcPr>
            <w:tcW w:type="dxa" w:w="2057"/>
          </w:tcPr>
          <w:p>
            <w:pPr>
              <w:pStyle w:val="Compact"/>
            </w:pPr>
            <w:r>
              <w:t xml:space="preserve">SUP</w:t>
            </w:r>
          </w:p>
        </w:tc>
        <w:tc>
          <w:tcPr>
            <w:tcW w:type="dxa" w:w="3741"/>
          </w:tcPr>
          <w:p>
            <w:pPr>
              <w:pStyle w:val="Compact"/>
            </w:pPr>
            <w:r>
              <w:t xml:space="preserve">Visitor intervention; on-call response at night; welfare check after incident; general weekday oversight of the house</w:t>
            </w:r>
          </w:p>
        </w:tc>
        <w:tc>
          <w:tcPr>
            <w:tcW w:type="dxa" w:w="1777"/>
          </w:tcPr>
          <w:p>
            <w:pPr>
              <w:pStyle w:val="Compact"/>
            </w:pPr>
            <w:r>
              <w:t xml:space="preserve">As needed; on-call 24 hours</w:t>
            </w:r>
          </w:p>
        </w:tc>
        <w:tc>
          <w:tcPr>
            <w:tcW w:type="dxa" w:w="1777"/>
          </w:tcPr>
          <w:p>
            <w:pPr>
              <w:pStyle w:val="Compact"/>
            </w:pPr>
            <w:r>
              <w:t xml:space="preserve">Tenant activity log; call-out log; rota</w:t>
            </w:r>
          </w:p>
        </w:tc>
      </w:tr>
      <w:tr>
        <w:trPr>
          <w:cantSplit/>
        </w:trPr>
        <w:tc>
          <w:tcPr>
            <w:tcW w:type="dxa" w:w="2057"/>
            <w:shd w:val="clear" w:color="auto" w:fill="E6ECF4"/>
          </w:tcPr>
          <w:p>
            <w:pPr>
              <w:pStyle w:val="Compact"/>
            </w:pPr>
            <w:r>
              <w:t xml:space="preserve">CPS (ineligible)</w:t>
            </w:r>
          </w:p>
        </w:tc>
        <w:tc>
          <w:tcPr>
            <w:tcW w:type="dxa" w:w="3741"/>
            <w:shd w:val="clear" w:color="auto" w:fill="E6ECF4"/>
          </w:tcPr>
          <w:p>
            <w:pPr>
              <w:pStyle w:val="Compact"/>
            </w:pPr>
            <w:r>
              <w:t xml:space="preserve">Living skills and confidence: cooking, preparing for GP appointment, delivered by the support worker and apportioned out of the service charge. Alcohol treatment by the drug and alcohol service, not by the landlord</w:t>
            </w:r>
          </w:p>
        </w:tc>
        <w:tc>
          <w:tcPr>
            <w:tcW w:type="dxa" w:w="1777"/>
            <w:shd w:val="clear" w:color="auto" w:fill="E6ECF4"/>
          </w:tcPr>
          <w:p>
            <w:pPr>
              <w:pStyle w:val="Compact"/>
            </w:pPr>
            <w:r>
              <w:t xml:space="preserve">About 30 minutes weekly</w:t>
            </w:r>
          </w:p>
        </w:tc>
        <w:tc>
          <w:tcPr>
            <w:tcW w:type="dxa" w:w="1777"/>
            <w:shd w:val="clear" w:color="auto" w:fill="E6ECF4"/>
          </w:tcPr>
          <w:p>
            <w:pPr>
              <w:pStyle w:val="Compact"/>
            </w:pPr>
            <w:r>
              <w:t xml:space="preserve">Tenant activity log</w:t>
            </w:r>
          </w:p>
        </w:tc>
      </w:tr>
    </w:tbl>
    <w:p>
      <w:pPr>
        <w:pStyle w:val="BodyText"/>
      </w:pPr>
      <w:r>
        <w:t xml:space="preserve">This summary, with the support plan, would usually be enough for a council to see that support is being delivered, that it is linked to the tenant's needs, and that the eligible and ineligible elements are separated. The logs themselves would only be needed to answer a specific question.</w:t>
      </w:r>
    </w:p>
    <w:bookmarkEnd w:id="21"/>
    <w:bookmarkEnd w:id="22"/>
    <w:bookmarkEnd w:id="23"/>
    <w:sectPr>
      <w:headerReference w:type="default" r:id="rId12"/>
      <w:footerReference w:type="default" r:id="rId13"/>
      <w:footerReference w:type="first" r:id="rId14"/>
      <w:footnotePr>
        <w:numRestart w:val="eachSect"/>
      </w:footnotePr>
      <w:pgSz w:w="11906" w:h="16838"/>
      <w:pgMar w:left="1304" w:right="1304" w:top="1417" w:bottom="1134" w:header="567" w:footer="510" w:gutter="0"/>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0"/>
        <w:sz w:val="17"/>
      </w:rPr>
      <w:t xml:space="preserve">Supported Housing People  |  supportedhousing.blog  |  Page </w:t>
    </w:r>
    <w:r>
      <w:rPr>
        <w:color w:val="5B6470"/>
        <w:sz w:val="17"/>
      </w:rPr>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0"/>
        <w:sz w:val="17"/>
      </w:rPr>
      <w:t xml:space="preserve">Supported Housing People  |  supportedhousing.blog  |  Page </w:t>
    </w:r>
    <w:r>
      <w:rPr>
        <w:color w:val="5B6470"/>
        <w:sz w:val="17"/>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49" w:val="left"/>
        <w:tab w:pos="9298" w:val="right"/>
      </w:tabs>
    </w:pPr>
    <w:r>
      <w:drawing>
        <wp:inline xmlns:a="http://schemas.openxmlformats.org/drawingml/2006/main" xmlns:pic="http://schemas.openxmlformats.org/drawingml/2006/picture">
          <wp:extent cx="913500" cy="288000"/>
          <wp:docPr id="1" name="Picture 1"/>
          <wp:cNvGraphicFramePr>
            <a:graphicFrameLocks noChangeAspect="1"/>
          </wp:cNvGraphicFramePr>
          <a:graphic>
            <a:graphicData uri="http://schemas.openxmlformats.org/drawingml/2006/picture">
              <pic:pic>
                <pic:nvPicPr>
                  <pic:cNvPr id="0" name="shp_logo.png"/>
                  <pic:cNvPicPr/>
                </pic:nvPicPr>
                <pic:blipFill>
                  <a:blip r:embed="rId1"/>
                  <a:stretch>
                    <a:fillRect/>
                  </a:stretch>
                </pic:blipFill>
                <pic:spPr>
                  <a:xfrm>
                    <a:off x="0" y="0"/>
                    <a:ext cx="913500" cy="288000"/>
                  </a:xfrm>
                  <a:prstGeom prst="rect"/>
                </pic:spPr>
              </pic:pic>
            </a:graphicData>
          </a:graphic>
        </wp:inline>
      </w:drawing>
    </w:r>
    <w:r>
      <w:tab/>
      <w:tab/>
    </w:r>
    <w:r>
      <w:rPr>
        <w:color w:val="5B6470"/>
        <w:sz w:val="17"/>
      </w:rPr>
      <w:t>HB Good Practice Manual | Appendix 7 Template</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00" w:line="269" w:lineRule="auto"/>
    </w:pPr>
    <w:rPr>
      <w:rFonts w:ascii="Calibri" w:hAnsi="Calibri" w:eastAsia="Calibri" w:cs="Calibri"/>
      <w:color w:val="1F242B"/>
      <w:sz w:val="21"/>
    </w:rPr>
  </w:style>
  <w:style w:styleId="BodyText" w:type="paragraph">
    <w:name w:val="Body Text"/>
    <w:basedOn w:val="Normal"/>
    <w:link w:val="BodyTextChar"/>
    <w:qFormat/>
    <w:pPr>
      <w:spacing w:after="100" w:before="180" w:line="269" w:lineRule="auto"/>
    </w:pPr>
    <w:rPr>
      <w:rFonts w:ascii="Calibri" w:hAnsi="Calibri" w:eastAsia="Calibri" w:cs="Calibri"/>
      <w:color w:val="1F242B"/>
      <w:sz w:val="21"/>
    </w:rPr>
  </w:style>
  <w:style w:customStyle="1" w:styleId="FirstParagraph" w:type="paragraph">
    <w:name w:val="First Paragraph"/>
    <w:basedOn w:val="BodyText"/>
    <w:next w:val="BodyText"/>
    <w:qFormat/>
    <w:pPr>
      <w:spacing w:after="100" w:line="269" w:lineRule="auto"/>
    </w:pPr>
    <w:rPr>
      <w:rFonts w:ascii="Calibri" w:hAnsi="Calibri" w:eastAsia="Calibri" w:cs="Calibri"/>
      <w:color w:val="1F242B"/>
      <w:sz w:val="21"/>
    </w:rPr>
  </w:style>
  <w:style w:customStyle="1" w:styleId="Compact" w:type="paragraph">
    <w:name w:val="Compact"/>
    <w:basedOn w:val="BodyText"/>
    <w:qFormat/>
    <w:pPr>
      <w:spacing w:after="100" w:before="36" w:line="269" w:lineRule="auto"/>
    </w:pPr>
    <w:rPr>
      <w:rFonts w:ascii="Calibri" w:hAnsi="Calibri" w:eastAsia="Calibri" w:cs="Calibri"/>
      <w:color w:val="1F242B"/>
      <w:sz w:val="21"/>
    </w:rPr>
  </w:style>
  <w:style w:styleId="Title" w:type="paragraph">
    <w:name w:val="Title"/>
    <w:basedOn w:val="Normal"/>
    <w:next w:val="BodyText"/>
    <w:link w:val="TitleChar"/>
    <w:uiPriority w:val="10"/>
    <w:qFormat/>
    <w:rsid w:val="00A10FD9"/>
    <w:pPr>
      <w:keepNext/>
      <w:spacing w:after="80" w:line="240" w:lineRule="auto" w:before="180"/>
      <w:contextualSpacing/>
      <w:jc w:val="center"/>
    </w:pPr>
    <w:rPr>
      <w:rFonts w:ascii="Calibri" w:hAnsi="Calibri" w:eastAsia="Calibri" w:cs="Calibri"/>
      <w:b/>
      <w:i w:val="0"/>
      <w:color w:val="002F6D"/>
      <w:sz w:val="48"/>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180"/>
      <w:outlineLvl w:val="0"/>
    </w:pPr>
    <w:rPr>
      <w:rFonts w:ascii="Calibri" w:hAnsi="Calibri" w:eastAsia="Calibri" w:cs="Calibri"/>
      <w:b/>
      <w:i w:val="0"/>
      <w:color w:val="002F6D"/>
      <w:sz w:val="44"/>
      <w:szCs w:val="40"/>
    </w:rPr>
  </w:style>
  <w:style w:styleId="Heading2" w:type="paragraph">
    <w:name w:val="heading 2"/>
    <w:basedOn w:val="Normal"/>
    <w:next w:val="BodyText"/>
    <w:link w:val="Heading2Char"/>
    <w:uiPriority w:val="9"/>
    <w:semiHidden/>
    <w:unhideWhenUsed/>
    <w:qFormat/>
    <w:rsid w:val="00A10FD9"/>
    <w:pPr>
      <w:keepNext/>
      <w:keepLines/>
      <w:spacing w:after="80" w:before="280"/>
      <w:outlineLvl w:val="1"/>
    </w:pPr>
    <w:rPr>
      <w:rFonts w:ascii="Calibri" w:hAnsi="Calibri" w:eastAsia="Calibri" w:cs="Calibri"/>
      <w:b/>
      <w:i w:val="0"/>
      <w:color w:val="002F6D"/>
      <w:sz w:val="34"/>
      <w:szCs w:val="32"/>
    </w:rPr>
  </w:style>
  <w:style w:styleId="Heading3" w:type="paragraph">
    <w:name w:val="heading 3"/>
    <w:basedOn w:val="Normal"/>
    <w:next w:val="BodyText"/>
    <w:link w:val="Heading3Char"/>
    <w:uiPriority w:val="9"/>
    <w:semiHidden/>
    <w:unhideWhenUsed/>
    <w:qFormat/>
    <w:rsid w:val="00A10FD9"/>
    <w:pPr>
      <w:keepNext/>
      <w:keepLines/>
      <w:spacing w:after="80" w:before="280"/>
      <w:outlineLvl w:val="2"/>
    </w:pPr>
    <w:rPr>
      <w:rFonts w:ascii="Calibri" w:hAnsi="Calibri" w:eastAsia="Calibri" w:cs="Calibri"/>
      <w:b/>
      <w:i w:val="0"/>
      <w:color w:val="002F6D"/>
      <w:sz w:val="28"/>
      <w:szCs w:val="28"/>
    </w:rPr>
  </w:style>
  <w:style w:styleId="Heading4" w:type="paragraph">
    <w:name w:val="heading 4"/>
    <w:basedOn w:val="Normal"/>
    <w:next w:val="BodyText"/>
    <w:link w:val="Heading4Char"/>
    <w:uiPriority w:val="9"/>
    <w:semiHidden/>
    <w:unhideWhenUsed/>
    <w:qFormat/>
    <w:rsid w:val="00A10FD9"/>
    <w:pPr>
      <w:keepNext/>
      <w:keepLines/>
      <w:spacing w:after="80" w:before="180"/>
      <w:outlineLvl w:val="3"/>
    </w:pPr>
    <w:rPr>
      <w:rFonts w:ascii="Calibri" w:hAnsi="Calibri" w:eastAsia="Calibri" w:cs="Calibri"/>
      <w:b/>
      <w:i w:val="0"/>
      <w:iCs/>
      <w:color w:val="FF9202"/>
      <w:sz w:val="24"/>
    </w:rPr>
  </w:style>
  <w:style w:styleId="Heading5" w:type="paragraph">
    <w:name w:val="heading 5"/>
    <w:basedOn w:val="Normal"/>
    <w:next w:val="BodyText"/>
    <w:link w:val="Heading5Char"/>
    <w:uiPriority w:val="9"/>
    <w:semiHidden/>
    <w:unhideWhenUsed/>
    <w:qFormat/>
    <w:rsid w:val="00A10FD9"/>
    <w:pPr>
      <w:keepNext/>
      <w:keepLines/>
      <w:spacing w:after="80" w:before="180"/>
      <w:outlineLvl w:val="4"/>
    </w:pPr>
    <w:rPr>
      <w:rFonts w:ascii="Calibri" w:hAnsi="Calibri" w:eastAsia="Calibri" w:cs="Calibri"/>
      <w:b/>
      <w:i w:val="0"/>
      <w:color w:val="002F6D"/>
      <w:sz w:val="22"/>
    </w:rPr>
  </w:style>
  <w:style w:styleId="Heading6" w:type="paragraph">
    <w:name w:val="heading 6"/>
    <w:basedOn w:val="Normal"/>
    <w:next w:val="BodyText"/>
    <w:link w:val="Heading6Char"/>
    <w:uiPriority w:val="9"/>
    <w:semiHidden/>
    <w:unhideWhenUsed/>
    <w:qFormat/>
    <w:rsid w:val="00A10FD9"/>
    <w:pPr>
      <w:keepNext/>
      <w:keepLines/>
      <w:spacing w:after="80" w:before="180"/>
      <w:outlineLvl w:val="5"/>
    </w:pPr>
    <w:rPr>
      <w:rFonts w:ascii="Calibri" w:hAnsi="Calibri" w:eastAsia="Calibri" w:cs="Calibri"/>
      <w:b/>
      <w:i w:val="0"/>
      <w:iCs/>
      <w:color w:val="002F6D"/>
      <w:sz w:val="21"/>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Calibri" w:hAnsi="Calibri" w:eastAsia="Calibri" w:cs="Calibri"/>
      <w:color w:val="002F6D"/>
      <w:sz w:val="21"/>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yperlink" Target="https://creativecommons.org/licenses/by/4.0/" TargetMode="External"/><Relationship Id="rId10" Type="http://schemas.openxmlformats.org/officeDocument/2006/relationships/hyperlink" Target="https://supportedhousing.blog/manual/" TargetMode="External"/><Relationship Id="rId11" Type="http://schemas.openxmlformats.org/officeDocument/2006/relationships/image" Target="media/image1.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9" Type="http://schemas.openxmlformats.org/officeDocument/2006/relationships/hyperlink" Target="https://creativecommons.org/licenses/by/4.0/" TargetMode="External"/><Relationship Id="rId10" Type="http://schemas.openxmlformats.org/officeDocument/2006/relationships/hyperlink" Target="https://supportedhousing.blog/manu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2026-10-13T15:41:07Z</dcterms:created>
  <dcterms:modified xsi:type="dcterms:W3CDTF">2026-10-13T15:41:07Z</dcterms:modified>
</cp:coreProperties>
</file>

<file path=docProps/custom.xml><?xml version="1.0" encoding="utf-8"?>
<Properties xmlns="http://schemas.openxmlformats.org/officeDocument/2006/custom-properties" xmlns:vt="http://schemas.openxmlformats.org/officeDocument/2006/docPropsVTypes"/>
</file>