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9ac6e5c1c39235c5bf748b2c36955df694f224a"/>
    <w:p>
      <w:r>
        <w:drawing>
          <wp:inline>
            <wp:extent cx="2160000" cy="680985"/>
            <wp:docPr id="1" name="Picture 1"/>
            <wp:cNvGraphicFramePr>
              <a:graphicFrameLocks noChangeAspect="1"/>
            </wp:cNvGraphicFramePr>
            <a:graphic>
              <a:graphicData uri="http://schemas.openxmlformats.org/drawingml/2006/picture">
                <pic:pic>
                  <pic:nvPicPr>
                    <pic:cNvPr id="0" name="shp_logo.png"/>
                    <pic:cNvPicPr/>
                  </pic:nvPicPr>
                  <pic:blipFill>
                    <a:blip r:embed="rId11"/>
                    <a:stretch>
                      <a:fillRect/>
                    </a:stretch>
                  </pic:blipFill>
                  <pic:spPr>
                    <a:xfrm>
                      <a:off x="0" y="0"/>
                      <a:ext cx="2160000" cy="680985"/>
                    </a:xfrm>
                    <a:prstGeom prst="rect"/>
                  </pic:spPr>
                </pic:pic>
              </a:graphicData>
            </a:graphic>
          </wp:inline>
        </w:drawing>
      </w:r>
    </w:p>
    <w:p>
      <w:pPr>
        <w:spacing w:after="600"/>
      </w:pPr>
      <w:r>
        <w:rPr>
          <w:b/>
          <w:color w:val="FF9202"/>
          <w:sz w:val="22"/>
        </w:rPr>
        <w:t>Supported Housing Expertise</w:t>
      </w:r>
    </w:p>
    <w:p>
      <w:pPr>
        <w:pStyle w:val="Heading1"/>
      </w:pPr>
      <w:r>
        <w:t xml:space="preserve">Appendix 8: Model Rent and Service Charge Build-Up</w:t>
      </w:r>
    </w:p>
    <w:p>
      <w:pPr>
        <w:pStyle w:val="FirstParagraph"/>
      </w:pPr>
      <w:r>
        <w:t xml:space="preserve">A template from</w:t>
      </w:r>
      <w:r>
        <w:t xml:space="preserve"> </w:t>
      </w:r>
      <w:r>
        <w:rPr>
          <w:i/>
          <w:iCs/>
        </w:rPr>
        <w:t xml:space="preserve">Managing Housing Benefit Claims in Supported Housing</w:t>
      </w:r>
      <w:r>
        <w:t xml:space="preserve">, Supported Housing People Ltd, Version 1.0, October 2026.</w:t>
      </w:r>
    </w:p>
    <w:p>
      <w:pPr>
        <w:pStyle w:val="BlockText"/>
        <w:pBdr>
          <w:left w:val="single" w:sz="24" w:space="8" w:color="FF9202"/>
        </w:pBdr>
        <w:shd w:val="clear" w:color="auto" w:fill="EEF2F8"/>
        <w:spacing w:after="0" w:before="0"/>
        <w:ind w:left="227" w:right="113"/>
      </w:pPr>
      <w:r>
        <w:rPr>
          <w:b/>
          <w:bCs/>
        </w:rPr>
        <w:t xml:space="preserve">Free to adapt.</w:t>
      </w:r>
      <w:r>
        <w:t xml:space="preserve"> </w:t>
      </w:r>
      <w:r>
        <w:t xml:space="preserve">You can change this template to suit your organisation, add your own logo, remove the SHP branding and share your version, including commercially. Please credit SHP, say that you have changed it, and do not suggest that SHP has approved your version.</w:t>
      </w:r>
    </w:p>
    <w:p>
      <w:pPr>
        <w:pStyle w:val="BlockText"/>
        <w:pBdr>
          <w:left w:val="single" w:sz="24" w:space="8" w:color="FF9202"/>
        </w:pBdr>
        <w:shd w:val="clear" w:color="auto" w:fill="EEF2F8"/>
        <w:spacing w:after="0" w:before="0"/>
        <w:ind w:left="227" w:right="113"/>
      </w:pPr>
      <w:r>
        <w:rPr>
          <w:b/>
          <w:bCs/>
        </w:rPr>
        <w:t xml:space="preserve">Credit:</w:t>
      </w:r>
      <w:r>
        <w:t xml:space="preserve"> </w:t>
      </w:r>
      <w:r>
        <w:t xml:space="preserve">Adapted from</w:t>
      </w:r>
      <w:r>
        <w:t xml:space="preserve"> </w:t>
      </w:r>
      <w:r>
        <w:rPr>
          <w:i/>
          <w:iCs/>
        </w:rPr>
        <w:t xml:space="preserve">Managing Housing Benefit Claims in Supported Housing</w:t>
      </w:r>
      <w:r>
        <w:t xml:space="preserve">, Appendix 8, Supported Housing People Ltd, October 2026. Licensed under</w:t>
      </w:r>
      <w:r>
        <w:t xml:space="preserve"> </w:t>
      </w:r>
      <w:hyperlink r:id="rId9">
        <w:r>
          <w:rPr>
            <w:rStyle w:val="Hyperlink"/>
          </w:rPr>
          <w:t xml:space="preserve">CC BY 4.0</w:t>
        </w:r>
      </w:hyperlink>
      <w:r>
        <w:t xml:space="preserve">. Changes have been made.</w:t>
      </w:r>
    </w:p>
    <w:p>
      <w:pPr>
        <w:pStyle w:val="BlockText"/>
        <w:pBdr>
          <w:left w:val="single" w:sz="24" w:space="8" w:color="FF9202"/>
        </w:pBdr>
        <w:shd w:val="clear" w:color="auto" w:fill="EEF2F8"/>
        <w:spacing w:after="0" w:before="0"/>
        <w:ind w:left="227" w:right="113"/>
      </w:pPr>
      <w:r>
        <w:t xml:space="preserve">Chapter references are to the manual, which is free to read at</w:t>
      </w:r>
      <w:r>
        <w:t xml:space="preserve"> </w:t>
      </w:r>
      <w:hyperlink r:id="rId10">
        <w:r>
          <w:rPr>
            <w:rStyle w:val="Hyperlink"/>
          </w:rPr>
          <w:t xml:space="preserve">supportedhousing.blog/manual</w:t>
        </w:r>
      </w:hyperlink>
      <w:r>
        <w:t xml:space="preserve">.</w:t>
      </w:r>
    </w:p>
    <w:p>
      <w:pPr>
        <w:pStyle w:val="FirstParagraph"/>
      </w:pPr>
      <w:r>
        <w:t xml:space="preserve">This appendix is a model for setting out how a scheme's rent and service charges are made up, with a worksheet for apportioning staff time and other mixed costs. It puts Chapter 9 (9.3 and 9.4), Chapter 10 (10.8 and 10.9) and Chapter 13 (13.5) into practice. It has five parts:</w:t>
      </w:r>
    </w:p>
    <w:p>
      <w:pPr>
        <w:pStyle w:val="Compact"/>
        <w:numPr>
          <w:ilvl w:val="0"/>
          <w:numId w:val="1001"/>
        </w:numPr>
      </w:pPr>
      <w:r>
        <w:rPr>
          <w:b/>
          <w:bCs/>
        </w:rPr>
        <w:t xml:space="preserve">Part A:</w:t>
      </w:r>
      <w:r>
        <w:t xml:space="preserve"> </w:t>
      </w:r>
      <w:r>
        <w:t xml:space="preserve">scheme details</w:t>
      </w:r>
    </w:p>
    <w:p>
      <w:pPr>
        <w:pStyle w:val="Compact"/>
        <w:numPr>
          <w:ilvl w:val="0"/>
          <w:numId w:val="1001"/>
        </w:numPr>
      </w:pPr>
      <w:r>
        <w:rPr>
          <w:b/>
          <w:bCs/>
        </w:rPr>
        <w:t xml:space="preserve">Part B:</w:t>
      </w:r>
      <w:r>
        <w:t xml:space="preserve"> </w:t>
      </w:r>
      <w:r>
        <w:t xml:space="preserve">the build-up</w:t>
      </w:r>
    </w:p>
    <w:p>
      <w:pPr>
        <w:pStyle w:val="Compact"/>
        <w:numPr>
          <w:ilvl w:val="0"/>
          <w:numId w:val="1001"/>
        </w:numPr>
      </w:pPr>
      <w:r>
        <w:rPr>
          <w:b/>
          <w:bCs/>
        </w:rPr>
        <w:t xml:space="preserve">Part C:</w:t>
      </w:r>
      <w:r>
        <w:t xml:space="preserve"> </w:t>
      </w:r>
      <w:r>
        <w:t xml:space="preserve">apportionment worksheet for staff and other mixed costs</w:t>
      </w:r>
    </w:p>
    <w:p>
      <w:pPr>
        <w:pStyle w:val="Compact"/>
        <w:numPr>
          <w:ilvl w:val="0"/>
          <w:numId w:val="1001"/>
        </w:numPr>
      </w:pPr>
      <w:r>
        <w:rPr>
          <w:b/>
          <w:bCs/>
        </w:rPr>
        <w:t xml:space="preserve">Part D:</w:t>
      </w:r>
      <w:r>
        <w:t xml:space="preserve"> </w:t>
      </w:r>
      <w:r>
        <w:t xml:space="preserve">year-on-year comparison, for rent increases</w:t>
      </w:r>
    </w:p>
    <w:p>
      <w:pPr>
        <w:pStyle w:val="Compact"/>
        <w:numPr>
          <w:ilvl w:val="0"/>
          <w:numId w:val="1001"/>
        </w:numPr>
      </w:pPr>
      <w:r>
        <w:rPr>
          <w:b/>
          <w:bCs/>
        </w:rPr>
        <w:t xml:space="preserve">Part E:</w:t>
      </w:r>
      <w:r>
        <w:t xml:space="preserve"> </w:t>
      </w:r>
      <w:r>
        <w:t xml:space="preserve">a worked example, for the shared house used in Appendices 6 and 7</w:t>
      </w:r>
    </w:p>
    <w:p>
      <w:pPr>
        <w:pStyle w:val="FirstParagraph"/>
      </w:pPr>
      <w:r>
        <w:rPr>
          <w:b/>
          <w:bCs/>
        </w:rPr>
        <w:t xml:space="preserve">Why a build-up matters.</w:t>
      </w:r>
      <w:r>
        <w:t xml:space="preserve"> </w:t>
      </w:r>
      <w:r>
        <w:t xml:space="preserve">The DWP guidance says councils "should request a rent breakdown from the landlord which sets out all the charges included in the rent and service charges when a new claim or rent increase is submitted" (para 168; also para 196). On an increase, they should compare it with the previous year's "to identify why the rent has increased and whether it is justifiable" (para 238). A clear build-up answers three questions at once: what is eligible (Chapter 9), whether any eligible charge is excessive (Schedule 1, para 4), and whether the eligible rent as a whole is unreasonably high (Chapter 10).</w:t>
      </w:r>
    </w:p>
    <w:p>
      <w:pPr>
        <w:pStyle w:val="BodyText"/>
      </w:pPr>
      <w:r>
        <w:rPr>
          <w:b/>
          <w:bCs/>
        </w:rPr>
        <w:t xml:space="preserve">Status of the model.</w:t>
      </w:r>
      <w:r>
        <w:t xml:space="preserve"> </w:t>
      </w:r>
      <w:r>
        <w:t xml:space="preserve">No particular format is required by law. Providers can use their own format where it gives the same information. Councils and providers can agree a local version of this template, so that both look at the same figures in the same order (Chapter 10, Finding common ground).</w:t>
      </w:r>
    </w:p>
    <w:p>
      <w:pPr>
        <w:pStyle w:val="BodyText"/>
      </w:pPr>
      <w:r>
        <w:rPr>
          <w:b/>
          <w:bCs/>
        </w:rPr>
        <w:t xml:space="preserve">Principles.</w:t>
      </w:r>
    </w:p>
    <w:p>
      <w:pPr>
        <w:pStyle w:val="Compact"/>
        <w:numPr>
          <w:ilvl w:val="0"/>
          <w:numId w:val="1002"/>
        </w:numPr>
      </w:pPr>
      <w:r>
        <w:rPr>
          <w:b/>
          <w:bCs/>
        </w:rPr>
        <w:t xml:space="preserve">Start from costs.</w:t>
      </w:r>
      <w:r>
        <w:t xml:space="preserve"> </w:t>
      </w:r>
      <w:r>
        <w:t xml:space="preserve">Use actual costs for the last full year, or a budget for a new scheme, and say which.</w:t>
      </w:r>
    </w:p>
    <w:p>
      <w:pPr>
        <w:pStyle w:val="Compact"/>
        <w:numPr>
          <w:ilvl w:val="0"/>
          <w:numId w:val="1002"/>
        </w:numPr>
      </w:pPr>
      <w:r>
        <w:rPr>
          <w:b/>
          <w:bCs/>
        </w:rPr>
        <w:t xml:space="preserve">Separate the core rent from service charges.</w:t>
      </w:r>
      <w:r>
        <w:t xml:space="preserve"> </w:t>
      </w:r>
      <w:r>
        <w:t xml:space="preserve">Lease or property costs, repairs, long-term maintenance, general housing management, insurance, voids and bad debts are rent. They are tested as part of the whole under regulation 13, not picked off as ineligible service charges (CH/3528/2006; Chapter 10, 10.9).</w:t>
      </w:r>
    </w:p>
    <w:p>
      <w:pPr>
        <w:pStyle w:val="Compact"/>
        <w:numPr>
          <w:ilvl w:val="0"/>
          <w:numId w:val="1002"/>
        </w:numPr>
      </w:pPr>
      <w:r>
        <w:rPr>
          <w:b/>
          <w:bCs/>
        </w:rPr>
        <w:t xml:space="preserve">Identify every service charge and its treatment.</w:t>
      </w:r>
      <w:r>
        <w:t xml:space="preserve"> </w:t>
      </w:r>
      <w:r>
        <w:t xml:space="preserve">Mark each one eligible or ineligible, using Chapter 9 (9.4).</w:t>
      </w:r>
    </w:p>
    <w:p>
      <w:pPr>
        <w:pStyle w:val="Compact"/>
        <w:numPr>
          <w:ilvl w:val="0"/>
          <w:numId w:val="1002"/>
        </w:numPr>
      </w:pPr>
      <w:r>
        <w:rPr>
          <w:b/>
          <w:bCs/>
        </w:rPr>
        <w:t xml:space="preserve">Apportion mixed costs by a stated method.</w:t>
      </w:r>
      <w:r>
        <w:t xml:space="preserve"> </w:t>
      </w:r>
      <w:r>
        <w:t xml:space="preserve">Where a cost covers both eligible and ineligible services, apportion it by a reasonable, consistent method, usually staff time (Schedule 1, para 3(1);</w:t>
      </w:r>
      <w:r>
        <w:t xml:space="preserve"> </w:t>
      </w:r>
      <w:r>
        <w:rPr>
          <w:i/>
          <w:iCs/>
        </w:rPr>
        <w:t xml:space="preserve">ET v Rossendale BC</w:t>
      </w:r>
      <w:r>
        <w:t xml:space="preserve"> </w:t>
      </w:r>
      <w:r>
        <w:t xml:space="preserve">[2010] UKUT 222 (AAC), para 39).</w:t>
      </w:r>
    </w:p>
    <w:p>
      <w:pPr>
        <w:pStyle w:val="Compact"/>
        <w:numPr>
          <w:ilvl w:val="0"/>
          <w:numId w:val="1002"/>
        </w:numPr>
      </w:pPr>
      <w:r>
        <w:rPr>
          <w:b/>
          <w:bCs/>
        </w:rPr>
        <w:t xml:space="preserve">Apply overheads and allowances pro rata.</w:t>
      </w:r>
      <w:r>
        <w:t xml:space="preserve"> </w:t>
      </w:r>
      <w:r>
        <w:t xml:space="preserve">Where a percentage for overheads or voids is applied to every line, the part that falls on ineligible lines is ineligible too (</w:t>
      </w:r>
      <w:r>
        <w:rPr>
          <w:i/>
          <w:iCs/>
        </w:rPr>
        <w:t xml:space="preserve">Allerdale BC v JD and Others</w:t>
      </w:r>
      <w:r>
        <w:t xml:space="preserve"> </w:t>
      </w:r>
      <w:r>
        <w:t xml:space="preserve">[2019] UKUT 304 (AAC), paras 37 and 38).</w:t>
      </w:r>
    </w:p>
    <w:p>
      <w:pPr>
        <w:pStyle w:val="Compact"/>
        <w:numPr>
          <w:ilvl w:val="0"/>
          <w:numId w:val="1002"/>
        </w:numPr>
      </w:pPr>
      <w:r>
        <w:rPr>
          <w:b/>
          <w:bCs/>
        </w:rPr>
        <w:t xml:space="preserve">Evidence voids and bad debts.</w:t>
      </w:r>
      <w:r>
        <w:t xml:space="preserve"> </w:t>
      </w:r>
      <w:r>
        <w:t xml:space="preserve">There is no standard percentage. Use the scheme's actual history (</w:t>
      </w:r>
      <w:r>
        <w:rPr>
          <w:i/>
          <w:iCs/>
        </w:rPr>
        <w:t xml:space="preserve">ET v Rossendale</w:t>
      </w:r>
      <w:r>
        <w:t xml:space="preserve">, paras 41 to 43).</w:t>
      </w:r>
    </w:p>
    <w:p>
      <w:pPr>
        <w:pStyle w:val="Compact"/>
        <w:numPr>
          <w:ilvl w:val="0"/>
          <w:numId w:val="1002"/>
        </w:numPr>
      </w:pPr>
      <w:r>
        <w:rPr>
          <w:b/>
          <w:bCs/>
        </w:rPr>
        <w:t xml:space="preserve">Show the eligible rent.</w:t>
      </w:r>
      <w:r>
        <w:t xml:space="preserve"> </w:t>
      </w:r>
      <w:r>
        <w:t xml:space="preserve">The eligible rent is the core rent plus eligible service charges. Ineligible costs must be shown, with how they are funded.</w:t>
      </w:r>
    </w:p>
    <w:p>
      <w:pPr>
        <w:pStyle w:val="Compact"/>
        <w:numPr>
          <w:ilvl w:val="0"/>
          <w:numId w:val="1002"/>
        </w:numPr>
      </w:pPr>
      <w:r>
        <w:rPr>
          <w:b/>
          <w:bCs/>
        </w:rPr>
        <w:t xml:space="preserve">Treat it as commercially sensitive.</w:t>
      </w:r>
      <w:r>
        <w:t xml:space="preserve"> </w:t>
      </w:r>
      <w:r>
        <w:t xml:space="preserve">Councils should hold build-ups in confidence and limit who sees them (Chapter 13, 13.2).</w:t>
      </w:r>
    </w:p>
    <w:p>
      <w:pPr>
        <w:pStyle w:val="FirstParagraph"/>
      </w:pPr>
      <w:r>
        <w:rPr>
          <w:b/>
          <w:bCs/>
        </w:rPr>
        <w:t xml:space="preserve">SHP's position.</w:t>
      </w:r>
      <w:r>
        <w:t xml:space="preserve"> </w:t>
      </w:r>
      <w:r>
        <w:t xml:space="preserve">The build-up should show what the scheme actually costs to run. There is no need to add an ineligible "support charge" to show that support exists. Where personal support is provided, the build-up should apportion its true cost and show how it is funded. Housing-related support and supervision delivered as intensive housing management are eligible (Chapter 3, 3.4; Chapter 9).</w:t>
      </w:r>
    </w:p>
    <w:bookmarkStart w:id="11" w:name="part-a-scheme-details"/>
    <w:p>
      <w:pPr>
        <w:pStyle w:val="Heading2"/>
        <w:pBdr>
          <w:bottom w:val="single" w:sz="12" w:space="4" w:color="FF9202"/>
        </w:pBdr>
      </w:pPr>
      <w:r>
        <w:t xml:space="preserve">Part A: Scheme details</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3928"/>
        <w:gridCol w:w="5425"/>
      </w:tblGrid>
      <w:tr>
        <w:trPr>
          <w:tblHeader w:val="on"/>
          <w:cantSplit/>
          <w:tblHeader w:val="true"/>
        </w:trPr>
        <w:tc>
          <w:tcPr>
            <w:tcW w:type="dxa" w:w="3928"/>
            <w:shd w:val="clear" w:color="auto" w:fill="002F6D"/>
          </w:tcPr>
          <w:p>
            <w:pPr>
              <w:pStyle w:val="Compact"/>
            </w:pPr>
            <w:r>
              <w:rPr>
                <w:b/>
                <w:color w:val="FFFFFF"/>
              </w:rPr>
              <w:t xml:space="preserve">Field</w:t>
            </w:r>
          </w:p>
        </w:tc>
        <w:tc>
          <w:tcPr>
            <w:tcW w:type="dxa" w:w="5425"/>
            <w:shd w:val="clear" w:color="auto" w:fill="002F6D"/>
          </w:tcPr>
          <w:p>
            <w:pPr>
              <w:pStyle w:val="Compact"/>
            </w:pPr>
            <w:r>
              <w:rPr>
                <w:b/>
                <w:color w:val="FFFFFF"/>
              </w:rPr>
              <w:t xml:space="preserve">Entry</w:t>
            </w:r>
          </w:p>
        </w:tc>
      </w:tr>
      <w:tr>
        <w:trPr>
          <w:cantSplit/>
        </w:trPr>
        <w:tc>
          <w:tcPr>
            <w:tcW w:type="dxa" w:w="3928"/>
          </w:tcPr>
          <w:p>
            <w:pPr>
              <w:pStyle w:val="Compact"/>
            </w:pPr>
            <w:r>
              <w:t xml:space="preserve">Scheme name and provider</w:t>
            </w:r>
          </w:p>
        </w:tc>
        <w:tc>
          <w:tcPr>
            <w:tcW w:type="dxa" w:w="5425"/>
          </w:tcPr>
          <w:p>
            <w:pPr>
              <w:pStyle w:val="Compact"/>
            </w:pPr>
          </w:p>
        </w:tc>
      </w:tr>
      <w:tr>
        <w:trPr>
          <w:cantSplit/>
        </w:trPr>
        <w:tc>
          <w:tcPr>
            <w:tcW w:type="dxa" w:w="3928"/>
            <w:shd w:val="clear" w:color="auto" w:fill="E6ECF4"/>
          </w:tcPr>
          <w:p>
            <w:pPr>
              <w:pStyle w:val="Compact"/>
            </w:pPr>
            <w:r>
              <w:t xml:space="preserve">Addresses, number of units or bedspaces, and type (shared, self-contained, dispersed)</w:t>
            </w:r>
          </w:p>
        </w:tc>
        <w:tc>
          <w:tcPr>
            <w:tcW w:type="dxa" w:w="5425"/>
            <w:shd w:val="clear" w:color="auto" w:fill="E6ECF4"/>
          </w:tcPr>
          <w:p>
            <w:pPr>
              <w:pStyle w:val="Compact"/>
            </w:pPr>
          </w:p>
        </w:tc>
      </w:tr>
      <w:tr>
        <w:trPr>
          <w:cantSplit/>
        </w:trPr>
        <w:tc>
          <w:tcPr>
            <w:tcW w:type="dxa" w:w="3928"/>
          </w:tcPr>
          <w:p>
            <w:pPr>
              <w:pStyle w:val="Compact"/>
            </w:pPr>
            <w:r>
              <w:t xml:space="preserve">Period covered (financial year) and basis (actual costs or budget)</w:t>
            </w:r>
          </w:p>
        </w:tc>
        <w:tc>
          <w:tcPr>
            <w:tcW w:type="dxa" w:w="5425"/>
          </w:tcPr>
          <w:p>
            <w:pPr>
              <w:pStyle w:val="Compact"/>
            </w:pPr>
          </w:p>
        </w:tc>
      </w:tr>
      <w:tr>
        <w:trPr>
          <w:cantSplit/>
        </w:trPr>
        <w:tc>
          <w:tcPr>
            <w:tcW w:type="dxa" w:w="3928"/>
            <w:shd w:val="clear" w:color="auto" w:fill="E6ECF4"/>
          </w:tcPr>
          <w:p>
            <w:pPr>
              <w:pStyle w:val="Compact"/>
            </w:pPr>
            <w:r>
              <w:t xml:space="preserve">Occupancy assumption used for the per unit figures</w:t>
            </w:r>
          </w:p>
        </w:tc>
        <w:tc>
          <w:tcPr>
            <w:tcW w:type="dxa" w:w="5425"/>
            <w:shd w:val="clear" w:color="auto" w:fill="E6ECF4"/>
          </w:tcPr>
          <w:p>
            <w:pPr>
              <w:pStyle w:val="Compact"/>
            </w:pPr>
          </w:p>
        </w:tc>
      </w:tr>
      <w:tr>
        <w:trPr>
          <w:cantSplit/>
        </w:trPr>
        <w:tc>
          <w:tcPr>
            <w:tcW w:type="dxa" w:w="3928"/>
          </w:tcPr>
          <w:p>
            <w:pPr>
              <w:pStyle w:val="Compact"/>
            </w:pPr>
            <w:r>
              <w:t xml:space="preserve">Lease or property arrangement (Appendix 4, A2.2)</w:t>
            </w:r>
          </w:p>
        </w:tc>
        <w:tc>
          <w:tcPr>
            <w:tcW w:type="dxa" w:w="5425"/>
          </w:tcPr>
          <w:p>
            <w:pPr>
              <w:pStyle w:val="Compact"/>
            </w:pPr>
          </w:p>
        </w:tc>
      </w:tr>
      <w:tr>
        <w:trPr>
          <w:cantSplit/>
        </w:trPr>
        <w:tc>
          <w:tcPr>
            <w:tcW w:type="dxa" w:w="3928"/>
            <w:shd w:val="clear" w:color="auto" w:fill="E6ECF4"/>
          </w:tcPr>
          <w:p>
            <w:pPr>
              <w:pStyle w:val="Compact"/>
            </w:pPr>
            <w:r>
              <w:t xml:space="preserve">Prepared by, role and date</w:t>
            </w:r>
          </w:p>
        </w:tc>
        <w:tc>
          <w:tcPr>
            <w:tcW w:type="dxa" w:w="5425"/>
            <w:shd w:val="clear" w:color="auto" w:fill="E6ECF4"/>
          </w:tcPr>
          <w:p>
            <w:pPr>
              <w:pStyle w:val="Compact"/>
            </w:pPr>
          </w:p>
        </w:tc>
      </w:tr>
    </w:tbl>
    <w:bookmarkEnd w:id="11"/>
    <w:bookmarkStart w:id="12" w:name="part-b-the-build-up"/>
    <w:p>
      <w:pPr>
        <w:pStyle w:val="Heading2"/>
        <w:pageBreakBefore/>
        <w:pBdr>
          <w:bottom w:val="single" w:sz="12" w:space="4" w:color="FF9202"/>
        </w:pBdr>
      </w:pPr>
      <w:r>
        <w:t xml:space="preserve">Part B: The build-up</w:t>
      </w:r>
    </w:p>
    <w:p>
      <w:pPr>
        <w:pStyle w:val="FirstParagraph"/>
      </w:pPr>
      <w:r>
        <w:t xml:space="preserve">Show each line as an annual cost and a weekly figure per unit. The weekly figure is the annual cost divided by the number of units and 52.</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748"/>
        <w:gridCol w:w="4864"/>
        <w:gridCol w:w="1216"/>
        <w:gridCol w:w="1309"/>
        <w:gridCol w:w="1216"/>
      </w:tblGrid>
      <w:tr>
        <w:trPr>
          <w:tblHeader w:val="on"/>
          <w:cantSplit/>
          <w:tblHeader w:val="true"/>
        </w:trPr>
        <w:tc>
          <w:tcPr>
            <w:tcW w:type="dxa" w:w="748"/>
            <w:shd w:val="clear" w:color="auto" w:fill="002F6D"/>
          </w:tcPr>
          <w:p>
            <w:pPr>
              <w:pStyle w:val="Compact"/>
            </w:pPr>
            <w:r>
              <w:rPr>
                <w:b/>
                <w:color w:val="FFFFFF"/>
              </w:rPr>
              <w:t xml:space="preserve">Line</w:t>
            </w:r>
          </w:p>
        </w:tc>
        <w:tc>
          <w:tcPr>
            <w:tcW w:type="dxa" w:w="4864"/>
            <w:shd w:val="clear" w:color="auto" w:fill="002F6D"/>
          </w:tcPr>
          <w:p>
            <w:pPr>
              <w:pStyle w:val="Compact"/>
            </w:pPr>
            <w:r>
              <w:rPr>
                <w:b/>
                <w:color w:val="FFFFFF"/>
              </w:rPr>
              <w:t xml:space="preserve">Item</w:t>
            </w:r>
          </w:p>
        </w:tc>
        <w:tc>
          <w:tcPr>
            <w:tcW w:type="dxa" w:w="1216"/>
            <w:shd w:val="clear" w:color="auto" w:fill="002F6D"/>
          </w:tcPr>
          <w:p>
            <w:pPr>
              <w:pStyle w:val="Compact"/>
            </w:pPr>
            <w:r>
              <w:rPr>
                <w:b/>
                <w:color w:val="FFFFFF"/>
              </w:rPr>
              <w:t xml:space="preserve">£ per year</w:t>
            </w:r>
          </w:p>
        </w:tc>
        <w:tc>
          <w:tcPr>
            <w:tcW w:type="dxa" w:w="1309"/>
            <w:shd w:val="clear" w:color="auto" w:fill="002F6D"/>
          </w:tcPr>
          <w:p>
            <w:pPr>
              <w:pStyle w:val="Compact"/>
            </w:pPr>
            <w:r>
              <w:rPr>
                <w:b/>
                <w:color w:val="FFFFFF"/>
              </w:rPr>
              <w:t xml:space="preserve">£ per unit per week</w:t>
            </w:r>
          </w:p>
        </w:tc>
        <w:tc>
          <w:tcPr>
            <w:tcW w:type="dxa" w:w="1216"/>
            <w:shd w:val="clear" w:color="auto" w:fill="002F6D"/>
          </w:tcPr>
          <w:p>
            <w:pPr>
              <w:pStyle w:val="Compact"/>
            </w:pPr>
            <w:r>
              <w:rPr>
                <w:b/>
                <w:color w:val="FFFFFF"/>
              </w:rPr>
              <w:t xml:space="preserve">Treatment</w:t>
            </w:r>
          </w:p>
        </w:tc>
      </w:tr>
      <w:tr>
        <w:trPr>
          <w:cantSplit/>
        </w:trPr>
        <w:tc>
          <w:tcPr>
            <w:tcW w:type="dxa" w:w="748"/>
          </w:tcPr>
          <w:p>
            <w:pPr>
              <w:pStyle w:val="Compact"/>
            </w:pPr>
            <w:r>
              <w:rPr>
                <w:b/>
                <w:bCs/>
              </w:rPr>
              <w:t xml:space="preserve">1</w:t>
            </w:r>
          </w:p>
        </w:tc>
        <w:tc>
          <w:tcPr>
            <w:tcW w:type="dxa" w:w="4864"/>
          </w:tcPr>
          <w:p>
            <w:pPr>
              <w:pStyle w:val="Compact"/>
            </w:pPr>
            <w:r>
              <w:rPr>
                <w:b/>
                <w:bCs/>
              </w:rPr>
              <w:t xml:space="preserve">Core rent</w:t>
            </w:r>
          </w:p>
        </w:tc>
        <w:tc>
          <w:tcPr>
            <w:tcW w:type="dxa" w:w="1216"/>
          </w:tcPr>
          <w:p>
            <w:pPr>
              <w:pStyle w:val="Compact"/>
            </w:pPr>
          </w:p>
        </w:tc>
        <w:tc>
          <w:tcPr>
            <w:tcW w:type="dxa" w:w="1309"/>
          </w:tcPr>
          <w:p>
            <w:pPr>
              <w:pStyle w:val="Compact"/>
            </w:pPr>
          </w:p>
        </w:tc>
        <w:tc>
          <w:tcPr>
            <w:tcW w:type="dxa" w:w="1216"/>
          </w:tcPr>
          <w:p>
            <w:pPr>
              <w:pStyle w:val="Compact"/>
            </w:pPr>
          </w:p>
        </w:tc>
      </w:tr>
      <w:tr>
        <w:trPr>
          <w:cantSplit/>
        </w:trPr>
        <w:tc>
          <w:tcPr>
            <w:tcW w:type="dxa" w:w="748"/>
            <w:shd w:val="clear" w:color="auto" w:fill="E6ECF4"/>
          </w:tcPr>
          <w:p>
            <w:pPr>
              <w:pStyle w:val="Compact"/>
            </w:pPr>
            <w:r>
              <w:t xml:space="preserve">1.1</w:t>
            </w:r>
          </w:p>
        </w:tc>
        <w:tc>
          <w:tcPr>
            <w:tcW w:type="dxa" w:w="4864"/>
            <w:shd w:val="clear" w:color="auto" w:fill="E6ECF4"/>
          </w:tcPr>
          <w:p>
            <w:pPr>
              <w:pStyle w:val="Compact"/>
            </w:pPr>
            <w:r>
              <w:t xml:space="preserve">Lease payment or property costs (capital, loan or lease)</w:t>
            </w:r>
          </w:p>
        </w:tc>
        <w:tc>
          <w:tcPr>
            <w:tcW w:type="dxa" w:w="1216"/>
            <w:shd w:val="clear" w:color="auto" w:fill="E6ECF4"/>
          </w:tcPr>
          <w:p>
            <w:pPr>
              <w:pStyle w:val="Compact"/>
            </w:pPr>
          </w:p>
        </w:tc>
        <w:tc>
          <w:tcPr>
            <w:tcW w:type="dxa" w:w="1309"/>
            <w:shd w:val="clear" w:color="auto" w:fill="E6ECF4"/>
          </w:tcPr>
          <w:p>
            <w:pPr>
              <w:pStyle w:val="Compact"/>
            </w:pPr>
          </w:p>
        </w:tc>
        <w:tc>
          <w:tcPr>
            <w:tcW w:type="dxa" w:w="1216"/>
            <w:shd w:val="clear" w:color="auto" w:fill="E6ECF4"/>
          </w:tcPr>
          <w:p>
            <w:pPr>
              <w:pStyle w:val="Compact"/>
            </w:pPr>
            <w:r>
              <w:t xml:space="preserve">Rent</w:t>
            </w:r>
          </w:p>
        </w:tc>
      </w:tr>
      <w:tr>
        <w:trPr>
          <w:cantSplit/>
        </w:trPr>
        <w:tc>
          <w:tcPr>
            <w:tcW w:type="dxa" w:w="748"/>
          </w:tcPr>
          <w:p>
            <w:pPr>
              <w:pStyle w:val="Compact"/>
            </w:pPr>
            <w:r>
              <w:t xml:space="preserve">1.2</w:t>
            </w:r>
          </w:p>
        </w:tc>
        <w:tc>
          <w:tcPr>
            <w:tcW w:type="dxa" w:w="4864"/>
          </w:tcPr>
          <w:p>
            <w:pPr>
              <w:pStyle w:val="Compact"/>
            </w:pPr>
            <w:r>
              <w:t xml:space="preserve">Responsive and cyclical repairs</w:t>
            </w:r>
          </w:p>
        </w:tc>
        <w:tc>
          <w:tcPr>
            <w:tcW w:type="dxa" w:w="1216"/>
          </w:tcPr>
          <w:p>
            <w:pPr>
              <w:pStyle w:val="Compact"/>
            </w:pPr>
          </w:p>
        </w:tc>
        <w:tc>
          <w:tcPr>
            <w:tcW w:type="dxa" w:w="1309"/>
          </w:tcPr>
          <w:p>
            <w:pPr>
              <w:pStyle w:val="Compact"/>
            </w:pPr>
          </w:p>
        </w:tc>
        <w:tc>
          <w:tcPr>
            <w:tcW w:type="dxa" w:w="1216"/>
          </w:tcPr>
          <w:p>
            <w:pPr>
              <w:pStyle w:val="Compact"/>
            </w:pPr>
            <w:r>
              <w:t xml:space="preserve">Rent</w:t>
            </w:r>
          </w:p>
        </w:tc>
      </w:tr>
      <w:tr>
        <w:trPr>
          <w:cantSplit/>
        </w:trPr>
        <w:tc>
          <w:tcPr>
            <w:tcW w:type="dxa" w:w="748"/>
            <w:shd w:val="clear" w:color="auto" w:fill="E6ECF4"/>
          </w:tcPr>
          <w:p>
            <w:pPr>
              <w:pStyle w:val="Compact"/>
            </w:pPr>
            <w:r>
              <w:t xml:space="preserve">1.3</w:t>
            </w:r>
          </w:p>
        </w:tc>
        <w:tc>
          <w:tcPr>
            <w:tcW w:type="dxa" w:w="4864"/>
            <w:shd w:val="clear" w:color="auto" w:fill="E6ECF4"/>
          </w:tcPr>
          <w:p>
            <w:pPr>
              <w:pStyle w:val="Compact"/>
            </w:pPr>
            <w:r>
              <w:t xml:space="preserve">Planned maintenance or sinking fund for long-term maintenance (DWP guidance, paras 172 and 173)</w:t>
            </w:r>
          </w:p>
        </w:tc>
        <w:tc>
          <w:tcPr>
            <w:tcW w:type="dxa" w:w="1216"/>
            <w:shd w:val="clear" w:color="auto" w:fill="E6ECF4"/>
          </w:tcPr>
          <w:p>
            <w:pPr>
              <w:pStyle w:val="Compact"/>
            </w:pPr>
          </w:p>
        </w:tc>
        <w:tc>
          <w:tcPr>
            <w:tcW w:type="dxa" w:w="1309"/>
            <w:shd w:val="clear" w:color="auto" w:fill="E6ECF4"/>
          </w:tcPr>
          <w:p>
            <w:pPr>
              <w:pStyle w:val="Compact"/>
            </w:pPr>
          </w:p>
        </w:tc>
        <w:tc>
          <w:tcPr>
            <w:tcW w:type="dxa" w:w="1216"/>
            <w:shd w:val="clear" w:color="auto" w:fill="E6ECF4"/>
          </w:tcPr>
          <w:p>
            <w:pPr>
              <w:pStyle w:val="Compact"/>
            </w:pPr>
            <w:r>
              <w:t xml:space="preserve">Rent</w:t>
            </w:r>
          </w:p>
        </w:tc>
      </w:tr>
      <w:tr>
        <w:trPr>
          <w:cantSplit/>
        </w:trPr>
        <w:tc>
          <w:tcPr>
            <w:tcW w:type="dxa" w:w="748"/>
          </w:tcPr>
          <w:p>
            <w:pPr>
              <w:pStyle w:val="Compact"/>
            </w:pPr>
            <w:r>
              <w:t xml:space="preserve">1.4</w:t>
            </w:r>
          </w:p>
        </w:tc>
        <w:tc>
          <w:tcPr>
            <w:tcW w:type="dxa" w:w="4864"/>
          </w:tcPr>
          <w:p>
            <w:pPr>
              <w:pStyle w:val="Compact"/>
            </w:pPr>
            <w:r>
              <w:t xml:space="preserve">General housing management</w:t>
            </w:r>
          </w:p>
        </w:tc>
        <w:tc>
          <w:tcPr>
            <w:tcW w:type="dxa" w:w="1216"/>
          </w:tcPr>
          <w:p>
            <w:pPr>
              <w:pStyle w:val="Compact"/>
            </w:pPr>
          </w:p>
        </w:tc>
        <w:tc>
          <w:tcPr>
            <w:tcW w:type="dxa" w:w="1309"/>
          </w:tcPr>
          <w:p>
            <w:pPr>
              <w:pStyle w:val="Compact"/>
            </w:pPr>
          </w:p>
        </w:tc>
        <w:tc>
          <w:tcPr>
            <w:tcW w:type="dxa" w:w="1216"/>
          </w:tcPr>
          <w:p>
            <w:pPr>
              <w:pStyle w:val="Compact"/>
            </w:pPr>
            <w:r>
              <w:t xml:space="preserve">Rent</w:t>
            </w:r>
          </w:p>
        </w:tc>
      </w:tr>
      <w:tr>
        <w:trPr>
          <w:cantSplit/>
        </w:trPr>
        <w:tc>
          <w:tcPr>
            <w:tcW w:type="dxa" w:w="748"/>
            <w:shd w:val="clear" w:color="auto" w:fill="E6ECF4"/>
          </w:tcPr>
          <w:p>
            <w:pPr>
              <w:pStyle w:val="Compact"/>
            </w:pPr>
            <w:r>
              <w:t xml:space="preserve">1.5</w:t>
            </w:r>
          </w:p>
        </w:tc>
        <w:tc>
          <w:tcPr>
            <w:tcW w:type="dxa" w:w="4864"/>
            <w:shd w:val="clear" w:color="auto" w:fill="E6ECF4"/>
          </w:tcPr>
          <w:p>
            <w:pPr>
              <w:pStyle w:val="Compact"/>
            </w:pPr>
            <w:r>
              <w:t xml:space="preserve">Buildings insurance</w:t>
            </w:r>
          </w:p>
        </w:tc>
        <w:tc>
          <w:tcPr>
            <w:tcW w:type="dxa" w:w="1216"/>
            <w:shd w:val="clear" w:color="auto" w:fill="E6ECF4"/>
          </w:tcPr>
          <w:p>
            <w:pPr>
              <w:pStyle w:val="Compact"/>
            </w:pPr>
          </w:p>
        </w:tc>
        <w:tc>
          <w:tcPr>
            <w:tcW w:type="dxa" w:w="1309"/>
            <w:shd w:val="clear" w:color="auto" w:fill="E6ECF4"/>
          </w:tcPr>
          <w:p>
            <w:pPr>
              <w:pStyle w:val="Compact"/>
            </w:pPr>
          </w:p>
        </w:tc>
        <w:tc>
          <w:tcPr>
            <w:tcW w:type="dxa" w:w="1216"/>
            <w:shd w:val="clear" w:color="auto" w:fill="E6ECF4"/>
          </w:tcPr>
          <w:p>
            <w:pPr>
              <w:pStyle w:val="Compact"/>
            </w:pPr>
            <w:r>
              <w:t xml:space="preserve">Rent</w:t>
            </w:r>
          </w:p>
        </w:tc>
      </w:tr>
      <w:tr>
        <w:trPr>
          <w:cantSplit/>
        </w:trPr>
        <w:tc>
          <w:tcPr>
            <w:tcW w:type="dxa" w:w="748"/>
          </w:tcPr>
          <w:p>
            <w:pPr>
              <w:pStyle w:val="Compact"/>
            </w:pPr>
            <w:r>
              <w:t xml:space="preserve">1.6</w:t>
            </w:r>
          </w:p>
        </w:tc>
        <w:tc>
          <w:tcPr>
            <w:tcW w:type="dxa" w:w="4864"/>
          </w:tcPr>
          <w:p>
            <w:pPr>
              <w:pStyle w:val="Compact"/>
            </w:pPr>
            <w:r>
              <w:t xml:space="preserve">Voids and bad debts (state the basis)</w:t>
            </w:r>
          </w:p>
        </w:tc>
        <w:tc>
          <w:tcPr>
            <w:tcW w:type="dxa" w:w="1216"/>
          </w:tcPr>
          <w:p>
            <w:pPr>
              <w:pStyle w:val="Compact"/>
            </w:pPr>
          </w:p>
        </w:tc>
        <w:tc>
          <w:tcPr>
            <w:tcW w:type="dxa" w:w="1309"/>
          </w:tcPr>
          <w:p>
            <w:pPr>
              <w:pStyle w:val="Compact"/>
            </w:pPr>
          </w:p>
        </w:tc>
        <w:tc>
          <w:tcPr>
            <w:tcW w:type="dxa" w:w="1216"/>
          </w:tcPr>
          <w:p>
            <w:pPr>
              <w:pStyle w:val="Compact"/>
            </w:pPr>
            <w:r>
              <w:t xml:space="preserve">Rent</w:t>
            </w:r>
          </w:p>
        </w:tc>
      </w:tr>
      <w:tr>
        <w:trPr>
          <w:cantSplit/>
        </w:trPr>
        <w:tc>
          <w:tcPr>
            <w:tcW w:type="dxa" w:w="748"/>
            <w:shd w:val="clear" w:color="auto" w:fill="E6ECF4"/>
          </w:tcPr>
          <w:p>
            <w:pPr>
              <w:pStyle w:val="Compact"/>
            </w:pPr>
          </w:p>
        </w:tc>
        <w:tc>
          <w:tcPr>
            <w:tcW w:type="dxa" w:w="4864"/>
            <w:shd w:val="clear" w:color="auto" w:fill="E6ECF4"/>
          </w:tcPr>
          <w:p>
            <w:pPr>
              <w:pStyle w:val="Compact"/>
            </w:pPr>
            <w:r>
              <w:rPr>
                <w:b/>
                <w:bCs/>
              </w:rPr>
              <w:t xml:space="preserve">Core rent total</w:t>
            </w:r>
          </w:p>
        </w:tc>
        <w:tc>
          <w:tcPr>
            <w:tcW w:type="dxa" w:w="1216"/>
            <w:shd w:val="clear" w:color="auto" w:fill="E6ECF4"/>
          </w:tcPr>
          <w:p>
            <w:pPr>
              <w:pStyle w:val="Compact"/>
            </w:pPr>
          </w:p>
        </w:tc>
        <w:tc>
          <w:tcPr>
            <w:tcW w:type="dxa" w:w="1309"/>
            <w:shd w:val="clear" w:color="auto" w:fill="E6ECF4"/>
          </w:tcPr>
          <w:p>
            <w:pPr>
              <w:pStyle w:val="Compact"/>
            </w:pPr>
          </w:p>
        </w:tc>
        <w:tc>
          <w:tcPr>
            <w:tcW w:type="dxa" w:w="1216"/>
            <w:shd w:val="clear" w:color="auto" w:fill="E6ECF4"/>
          </w:tcPr>
          <w:p>
            <w:pPr>
              <w:pStyle w:val="Compact"/>
            </w:pPr>
          </w:p>
        </w:tc>
      </w:tr>
      <w:tr>
        <w:trPr>
          <w:cantSplit/>
        </w:trPr>
        <w:tc>
          <w:tcPr>
            <w:tcW w:type="dxa" w:w="748"/>
          </w:tcPr>
          <w:p>
            <w:pPr>
              <w:pStyle w:val="Compact"/>
            </w:pPr>
            <w:r>
              <w:rPr>
                <w:b/>
                <w:bCs/>
              </w:rPr>
              <w:t xml:space="preserve">2</w:t>
            </w:r>
          </w:p>
        </w:tc>
        <w:tc>
          <w:tcPr>
            <w:tcW w:type="dxa" w:w="4864"/>
          </w:tcPr>
          <w:p>
            <w:pPr>
              <w:pStyle w:val="Compact"/>
            </w:pPr>
            <w:r>
              <w:rPr>
                <w:b/>
                <w:bCs/>
              </w:rPr>
              <w:t xml:space="preserve">Eligible service charges</w:t>
            </w:r>
          </w:p>
        </w:tc>
        <w:tc>
          <w:tcPr>
            <w:tcW w:type="dxa" w:w="1216"/>
          </w:tcPr>
          <w:p>
            <w:pPr>
              <w:pStyle w:val="Compact"/>
            </w:pPr>
          </w:p>
        </w:tc>
        <w:tc>
          <w:tcPr>
            <w:tcW w:type="dxa" w:w="1309"/>
          </w:tcPr>
          <w:p>
            <w:pPr>
              <w:pStyle w:val="Compact"/>
            </w:pPr>
          </w:p>
        </w:tc>
        <w:tc>
          <w:tcPr>
            <w:tcW w:type="dxa" w:w="1216"/>
          </w:tcPr>
          <w:p>
            <w:pPr>
              <w:pStyle w:val="Compact"/>
            </w:pPr>
          </w:p>
        </w:tc>
      </w:tr>
      <w:tr>
        <w:trPr>
          <w:cantSplit/>
        </w:trPr>
        <w:tc>
          <w:tcPr>
            <w:tcW w:type="dxa" w:w="748"/>
            <w:shd w:val="clear" w:color="auto" w:fill="E6ECF4"/>
          </w:tcPr>
          <w:p>
            <w:pPr>
              <w:pStyle w:val="Compact"/>
            </w:pPr>
            <w:r>
              <w:t xml:space="preserve">2.1</w:t>
            </w:r>
          </w:p>
        </w:tc>
        <w:tc>
          <w:tcPr>
            <w:tcW w:type="dxa" w:w="4864"/>
            <w:shd w:val="clear" w:color="auto" w:fill="E6ECF4"/>
          </w:tcPr>
          <w:p>
            <w:pPr>
              <w:pStyle w:val="Compact"/>
            </w:pPr>
            <w:r>
              <w:t xml:space="preserve">Intensive housing management (from Part C)</w:t>
            </w:r>
          </w:p>
        </w:tc>
        <w:tc>
          <w:tcPr>
            <w:tcW w:type="dxa" w:w="1216"/>
            <w:shd w:val="clear" w:color="auto" w:fill="E6ECF4"/>
          </w:tcPr>
          <w:p>
            <w:pPr>
              <w:pStyle w:val="Compact"/>
            </w:pPr>
          </w:p>
        </w:tc>
        <w:tc>
          <w:tcPr>
            <w:tcW w:type="dxa" w:w="1309"/>
            <w:shd w:val="clear" w:color="auto" w:fill="E6ECF4"/>
          </w:tcPr>
          <w:p>
            <w:pPr>
              <w:pStyle w:val="Compact"/>
            </w:pPr>
          </w:p>
        </w:tc>
        <w:tc>
          <w:tcPr>
            <w:tcW w:type="dxa" w:w="1216"/>
            <w:shd w:val="clear" w:color="auto" w:fill="E6ECF4"/>
          </w:tcPr>
          <w:p>
            <w:pPr>
              <w:pStyle w:val="Compact"/>
            </w:pPr>
            <w:r>
              <w:t xml:space="preserve">Eligible</w:t>
            </w:r>
          </w:p>
        </w:tc>
      </w:tr>
      <w:tr>
        <w:trPr>
          <w:cantSplit/>
        </w:trPr>
        <w:tc>
          <w:tcPr>
            <w:tcW w:type="dxa" w:w="748"/>
          </w:tcPr>
          <w:p>
            <w:pPr>
              <w:pStyle w:val="Compact"/>
            </w:pPr>
            <w:r>
              <w:t xml:space="preserve">2.2</w:t>
            </w:r>
          </w:p>
        </w:tc>
        <w:tc>
          <w:tcPr>
            <w:tcW w:type="dxa" w:w="4864"/>
          </w:tcPr>
          <w:p>
            <w:pPr>
              <w:pStyle w:val="Compact"/>
            </w:pPr>
            <w:r>
              <w:t xml:space="preserve">Housing-related support (from Part C)</w:t>
            </w:r>
          </w:p>
        </w:tc>
        <w:tc>
          <w:tcPr>
            <w:tcW w:type="dxa" w:w="1216"/>
          </w:tcPr>
          <w:p>
            <w:pPr>
              <w:pStyle w:val="Compact"/>
            </w:pPr>
          </w:p>
        </w:tc>
        <w:tc>
          <w:tcPr>
            <w:tcW w:type="dxa" w:w="1309"/>
          </w:tcPr>
          <w:p>
            <w:pPr>
              <w:pStyle w:val="Compact"/>
            </w:pPr>
          </w:p>
        </w:tc>
        <w:tc>
          <w:tcPr>
            <w:tcW w:type="dxa" w:w="1216"/>
          </w:tcPr>
          <w:p>
            <w:pPr>
              <w:pStyle w:val="Compact"/>
            </w:pPr>
            <w:r>
              <w:t xml:space="preserve">Eligible</w:t>
            </w:r>
          </w:p>
        </w:tc>
      </w:tr>
      <w:tr>
        <w:trPr>
          <w:cantSplit/>
        </w:trPr>
        <w:tc>
          <w:tcPr>
            <w:tcW w:type="dxa" w:w="748"/>
            <w:shd w:val="clear" w:color="auto" w:fill="E6ECF4"/>
          </w:tcPr>
          <w:p>
            <w:pPr>
              <w:pStyle w:val="Compact"/>
            </w:pPr>
            <w:r>
              <w:t xml:space="preserve">2.3</w:t>
            </w:r>
          </w:p>
        </w:tc>
        <w:tc>
          <w:tcPr>
            <w:tcW w:type="dxa" w:w="4864"/>
            <w:shd w:val="clear" w:color="auto" w:fill="E6ECF4"/>
          </w:tcPr>
          <w:p>
            <w:pPr>
              <w:pStyle w:val="Compact"/>
            </w:pPr>
            <w:r>
              <w:t xml:space="preserve">Supervision, including on-call cover (from Part C)</w:t>
            </w:r>
          </w:p>
        </w:tc>
        <w:tc>
          <w:tcPr>
            <w:tcW w:type="dxa" w:w="1216"/>
            <w:shd w:val="clear" w:color="auto" w:fill="E6ECF4"/>
          </w:tcPr>
          <w:p>
            <w:pPr>
              <w:pStyle w:val="Compact"/>
            </w:pPr>
          </w:p>
        </w:tc>
        <w:tc>
          <w:tcPr>
            <w:tcW w:type="dxa" w:w="1309"/>
            <w:shd w:val="clear" w:color="auto" w:fill="E6ECF4"/>
          </w:tcPr>
          <w:p>
            <w:pPr>
              <w:pStyle w:val="Compact"/>
            </w:pPr>
          </w:p>
        </w:tc>
        <w:tc>
          <w:tcPr>
            <w:tcW w:type="dxa" w:w="1216"/>
            <w:shd w:val="clear" w:color="auto" w:fill="E6ECF4"/>
          </w:tcPr>
          <w:p>
            <w:pPr>
              <w:pStyle w:val="Compact"/>
            </w:pPr>
            <w:r>
              <w:t xml:space="preserve">Eligible</w:t>
            </w:r>
          </w:p>
        </w:tc>
      </w:tr>
      <w:tr>
        <w:trPr>
          <w:cantSplit/>
        </w:trPr>
        <w:tc>
          <w:tcPr>
            <w:tcW w:type="dxa" w:w="748"/>
          </w:tcPr>
          <w:p>
            <w:pPr>
              <w:pStyle w:val="Compact"/>
            </w:pPr>
            <w:r>
              <w:t xml:space="preserve">2.4</w:t>
            </w:r>
          </w:p>
        </w:tc>
        <w:tc>
          <w:tcPr>
            <w:tcW w:type="dxa" w:w="4864"/>
          </w:tcPr>
          <w:p>
            <w:pPr>
              <w:pStyle w:val="Compact"/>
            </w:pPr>
            <w:r>
              <w:t xml:space="preserve">Communal cleaning</w:t>
            </w:r>
          </w:p>
        </w:tc>
        <w:tc>
          <w:tcPr>
            <w:tcW w:type="dxa" w:w="1216"/>
          </w:tcPr>
          <w:p>
            <w:pPr>
              <w:pStyle w:val="Compact"/>
            </w:pPr>
          </w:p>
        </w:tc>
        <w:tc>
          <w:tcPr>
            <w:tcW w:type="dxa" w:w="1309"/>
          </w:tcPr>
          <w:p>
            <w:pPr>
              <w:pStyle w:val="Compact"/>
            </w:pPr>
          </w:p>
        </w:tc>
        <w:tc>
          <w:tcPr>
            <w:tcW w:type="dxa" w:w="1216"/>
          </w:tcPr>
          <w:p>
            <w:pPr>
              <w:pStyle w:val="Compact"/>
            </w:pPr>
            <w:r>
              <w:t xml:space="preserve">Eligible</w:t>
            </w:r>
          </w:p>
        </w:tc>
      </w:tr>
      <w:tr>
        <w:trPr>
          <w:cantSplit/>
        </w:trPr>
        <w:tc>
          <w:tcPr>
            <w:tcW w:type="dxa" w:w="748"/>
            <w:shd w:val="clear" w:color="auto" w:fill="E6ECF4"/>
          </w:tcPr>
          <w:p>
            <w:pPr>
              <w:pStyle w:val="Compact"/>
            </w:pPr>
            <w:r>
              <w:t xml:space="preserve">2.5</w:t>
            </w:r>
          </w:p>
        </w:tc>
        <w:tc>
          <w:tcPr>
            <w:tcW w:type="dxa" w:w="4864"/>
            <w:shd w:val="clear" w:color="auto" w:fill="E6ECF4"/>
          </w:tcPr>
          <w:p>
            <w:pPr>
              <w:pStyle w:val="Compact"/>
            </w:pPr>
            <w:r>
              <w:t xml:space="preserve">Communal fuel, lighting and water</w:t>
            </w:r>
          </w:p>
        </w:tc>
        <w:tc>
          <w:tcPr>
            <w:tcW w:type="dxa" w:w="1216"/>
            <w:shd w:val="clear" w:color="auto" w:fill="E6ECF4"/>
          </w:tcPr>
          <w:p>
            <w:pPr>
              <w:pStyle w:val="Compact"/>
            </w:pPr>
          </w:p>
        </w:tc>
        <w:tc>
          <w:tcPr>
            <w:tcW w:type="dxa" w:w="1309"/>
            <w:shd w:val="clear" w:color="auto" w:fill="E6ECF4"/>
          </w:tcPr>
          <w:p>
            <w:pPr>
              <w:pStyle w:val="Compact"/>
            </w:pPr>
          </w:p>
        </w:tc>
        <w:tc>
          <w:tcPr>
            <w:tcW w:type="dxa" w:w="1216"/>
            <w:shd w:val="clear" w:color="auto" w:fill="E6ECF4"/>
          </w:tcPr>
          <w:p>
            <w:pPr>
              <w:pStyle w:val="Compact"/>
            </w:pPr>
            <w:r>
              <w:t xml:space="preserve">Eligible</w:t>
            </w:r>
          </w:p>
        </w:tc>
      </w:tr>
      <w:tr>
        <w:trPr>
          <w:cantSplit/>
        </w:trPr>
        <w:tc>
          <w:tcPr>
            <w:tcW w:type="dxa" w:w="748"/>
          </w:tcPr>
          <w:p>
            <w:pPr>
              <w:pStyle w:val="Compact"/>
            </w:pPr>
            <w:r>
              <w:t xml:space="preserve">2.6</w:t>
            </w:r>
          </w:p>
        </w:tc>
        <w:tc>
          <w:tcPr>
            <w:tcW w:type="dxa" w:w="4864"/>
          </w:tcPr>
          <w:p>
            <w:pPr>
              <w:pStyle w:val="Compact"/>
            </w:pPr>
            <w:r>
              <w:t xml:space="preserve">Furniture and white goods that remain the landlord's</w:t>
            </w:r>
          </w:p>
        </w:tc>
        <w:tc>
          <w:tcPr>
            <w:tcW w:type="dxa" w:w="1216"/>
          </w:tcPr>
          <w:p>
            <w:pPr>
              <w:pStyle w:val="Compact"/>
            </w:pPr>
          </w:p>
        </w:tc>
        <w:tc>
          <w:tcPr>
            <w:tcW w:type="dxa" w:w="1309"/>
          </w:tcPr>
          <w:p>
            <w:pPr>
              <w:pStyle w:val="Compact"/>
            </w:pPr>
          </w:p>
        </w:tc>
        <w:tc>
          <w:tcPr>
            <w:tcW w:type="dxa" w:w="1216"/>
          </w:tcPr>
          <w:p>
            <w:pPr>
              <w:pStyle w:val="Compact"/>
            </w:pPr>
            <w:r>
              <w:t xml:space="preserve">Eligible</w:t>
            </w:r>
          </w:p>
        </w:tc>
      </w:tr>
      <w:tr>
        <w:trPr>
          <w:cantSplit/>
        </w:trPr>
        <w:tc>
          <w:tcPr>
            <w:tcW w:type="dxa" w:w="748"/>
            <w:shd w:val="clear" w:color="auto" w:fill="E6ECF4"/>
          </w:tcPr>
          <w:p>
            <w:pPr>
              <w:pStyle w:val="Compact"/>
            </w:pPr>
            <w:r>
              <w:t xml:space="preserve">2.7</w:t>
            </w:r>
          </w:p>
        </w:tc>
        <w:tc>
          <w:tcPr>
            <w:tcW w:type="dxa" w:w="4864"/>
            <w:shd w:val="clear" w:color="auto" w:fill="E6ECF4"/>
          </w:tcPr>
          <w:p>
            <w:pPr>
              <w:pStyle w:val="Compact"/>
            </w:pPr>
            <w:r>
              <w:t xml:space="preserve">Door entry, fire alarm and other building services</w:t>
            </w:r>
          </w:p>
        </w:tc>
        <w:tc>
          <w:tcPr>
            <w:tcW w:type="dxa" w:w="1216"/>
            <w:shd w:val="clear" w:color="auto" w:fill="E6ECF4"/>
          </w:tcPr>
          <w:p>
            <w:pPr>
              <w:pStyle w:val="Compact"/>
            </w:pPr>
          </w:p>
        </w:tc>
        <w:tc>
          <w:tcPr>
            <w:tcW w:type="dxa" w:w="1309"/>
            <w:shd w:val="clear" w:color="auto" w:fill="E6ECF4"/>
          </w:tcPr>
          <w:p>
            <w:pPr>
              <w:pStyle w:val="Compact"/>
            </w:pPr>
          </w:p>
        </w:tc>
        <w:tc>
          <w:tcPr>
            <w:tcW w:type="dxa" w:w="1216"/>
            <w:shd w:val="clear" w:color="auto" w:fill="E6ECF4"/>
          </w:tcPr>
          <w:p>
            <w:pPr>
              <w:pStyle w:val="Compact"/>
            </w:pPr>
            <w:r>
              <w:t xml:space="preserve">Eligible</w:t>
            </w:r>
          </w:p>
        </w:tc>
      </w:tr>
      <w:tr>
        <w:trPr>
          <w:cantSplit/>
        </w:trPr>
        <w:tc>
          <w:tcPr>
            <w:tcW w:type="dxa" w:w="748"/>
          </w:tcPr>
          <w:p>
            <w:pPr>
              <w:pStyle w:val="Compact"/>
            </w:pPr>
            <w:r>
              <w:t xml:space="preserve">2.8</w:t>
            </w:r>
          </w:p>
        </w:tc>
        <w:tc>
          <w:tcPr>
            <w:tcW w:type="dxa" w:w="4864"/>
          </w:tcPr>
          <w:p>
            <w:pPr>
              <w:pStyle w:val="Compact"/>
            </w:pPr>
            <w:r>
              <w:t xml:space="preserve">Other eligible services (list)</w:t>
            </w:r>
          </w:p>
        </w:tc>
        <w:tc>
          <w:tcPr>
            <w:tcW w:type="dxa" w:w="1216"/>
          </w:tcPr>
          <w:p>
            <w:pPr>
              <w:pStyle w:val="Compact"/>
            </w:pPr>
          </w:p>
        </w:tc>
        <w:tc>
          <w:tcPr>
            <w:tcW w:type="dxa" w:w="1309"/>
          </w:tcPr>
          <w:p>
            <w:pPr>
              <w:pStyle w:val="Compact"/>
            </w:pPr>
          </w:p>
        </w:tc>
        <w:tc>
          <w:tcPr>
            <w:tcW w:type="dxa" w:w="1216"/>
          </w:tcPr>
          <w:p>
            <w:pPr>
              <w:pStyle w:val="Compact"/>
            </w:pPr>
            <w:r>
              <w:t xml:space="preserve">Eligible</w:t>
            </w:r>
          </w:p>
        </w:tc>
      </w:tr>
      <w:tr>
        <w:trPr>
          <w:cantSplit/>
        </w:trPr>
        <w:tc>
          <w:tcPr>
            <w:tcW w:type="dxa" w:w="748"/>
            <w:shd w:val="clear" w:color="auto" w:fill="E6ECF4"/>
          </w:tcPr>
          <w:p>
            <w:pPr>
              <w:pStyle w:val="Compact"/>
            </w:pPr>
            <w:r>
              <w:t xml:space="preserve">2.9</w:t>
            </w:r>
          </w:p>
        </w:tc>
        <w:tc>
          <w:tcPr>
            <w:tcW w:type="dxa" w:w="4864"/>
            <w:shd w:val="clear" w:color="auto" w:fill="E6ECF4"/>
          </w:tcPr>
          <w:p>
            <w:pPr>
              <w:pStyle w:val="Compact"/>
            </w:pPr>
            <w:r>
              <w:t xml:space="preserve">Overheads on eligible services (state the basis)</w:t>
            </w:r>
          </w:p>
        </w:tc>
        <w:tc>
          <w:tcPr>
            <w:tcW w:type="dxa" w:w="1216"/>
            <w:shd w:val="clear" w:color="auto" w:fill="E6ECF4"/>
          </w:tcPr>
          <w:p>
            <w:pPr>
              <w:pStyle w:val="Compact"/>
            </w:pPr>
          </w:p>
        </w:tc>
        <w:tc>
          <w:tcPr>
            <w:tcW w:type="dxa" w:w="1309"/>
            <w:shd w:val="clear" w:color="auto" w:fill="E6ECF4"/>
          </w:tcPr>
          <w:p>
            <w:pPr>
              <w:pStyle w:val="Compact"/>
            </w:pPr>
          </w:p>
        </w:tc>
        <w:tc>
          <w:tcPr>
            <w:tcW w:type="dxa" w:w="1216"/>
            <w:shd w:val="clear" w:color="auto" w:fill="E6ECF4"/>
          </w:tcPr>
          <w:p>
            <w:pPr>
              <w:pStyle w:val="Compact"/>
            </w:pPr>
            <w:r>
              <w:t xml:space="preserve">Eligible</w:t>
            </w:r>
          </w:p>
        </w:tc>
      </w:tr>
      <w:tr>
        <w:trPr>
          <w:cantSplit/>
        </w:trPr>
        <w:tc>
          <w:tcPr>
            <w:tcW w:type="dxa" w:w="748"/>
          </w:tcPr>
          <w:p>
            <w:pPr>
              <w:pStyle w:val="Compact"/>
            </w:pPr>
            <w:r>
              <w:t xml:space="preserve">2.10</w:t>
            </w:r>
          </w:p>
        </w:tc>
        <w:tc>
          <w:tcPr>
            <w:tcW w:type="dxa" w:w="4864"/>
          </w:tcPr>
          <w:p>
            <w:pPr>
              <w:pStyle w:val="Compact"/>
            </w:pPr>
            <w:r>
              <w:t xml:space="preserve">Voids and bad debts on eligible services</w:t>
            </w:r>
          </w:p>
        </w:tc>
        <w:tc>
          <w:tcPr>
            <w:tcW w:type="dxa" w:w="1216"/>
          </w:tcPr>
          <w:p>
            <w:pPr>
              <w:pStyle w:val="Compact"/>
            </w:pPr>
          </w:p>
        </w:tc>
        <w:tc>
          <w:tcPr>
            <w:tcW w:type="dxa" w:w="1309"/>
          </w:tcPr>
          <w:p>
            <w:pPr>
              <w:pStyle w:val="Compact"/>
            </w:pPr>
          </w:p>
        </w:tc>
        <w:tc>
          <w:tcPr>
            <w:tcW w:type="dxa" w:w="1216"/>
          </w:tcPr>
          <w:p>
            <w:pPr>
              <w:pStyle w:val="Compact"/>
            </w:pPr>
            <w:r>
              <w:t xml:space="preserve">Eligible</w:t>
            </w:r>
          </w:p>
        </w:tc>
      </w:tr>
      <w:tr>
        <w:trPr>
          <w:cantSplit/>
        </w:trPr>
        <w:tc>
          <w:tcPr>
            <w:tcW w:type="dxa" w:w="748"/>
            <w:shd w:val="clear" w:color="auto" w:fill="E6ECF4"/>
          </w:tcPr>
          <w:p>
            <w:pPr>
              <w:pStyle w:val="Compact"/>
            </w:pPr>
          </w:p>
        </w:tc>
        <w:tc>
          <w:tcPr>
            <w:tcW w:type="dxa" w:w="4864"/>
            <w:shd w:val="clear" w:color="auto" w:fill="E6ECF4"/>
          </w:tcPr>
          <w:p>
            <w:pPr>
              <w:pStyle w:val="Compact"/>
            </w:pPr>
            <w:r>
              <w:rPr>
                <w:b/>
                <w:bCs/>
              </w:rPr>
              <w:t xml:space="preserve">Eligible service charges total</w:t>
            </w:r>
          </w:p>
        </w:tc>
        <w:tc>
          <w:tcPr>
            <w:tcW w:type="dxa" w:w="1216"/>
            <w:shd w:val="clear" w:color="auto" w:fill="E6ECF4"/>
          </w:tcPr>
          <w:p>
            <w:pPr>
              <w:pStyle w:val="Compact"/>
            </w:pPr>
          </w:p>
        </w:tc>
        <w:tc>
          <w:tcPr>
            <w:tcW w:type="dxa" w:w="1309"/>
            <w:shd w:val="clear" w:color="auto" w:fill="E6ECF4"/>
          </w:tcPr>
          <w:p>
            <w:pPr>
              <w:pStyle w:val="Compact"/>
            </w:pPr>
          </w:p>
        </w:tc>
        <w:tc>
          <w:tcPr>
            <w:tcW w:type="dxa" w:w="1216"/>
            <w:shd w:val="clear" w:color="auto" w:fill="E6ECF4"/>
          </w:tcPr>
          <w:p>
            <w:pPr>
              <w:pStyle w:val="Compact"/>
            </w:pPr>
          </w:p>
        </w:tc>
      </w:tr>
      <w:tr>
        <w:trPr>
          <w:cantSplit/>
        </w:trPr>
        <w:tc>
          <w:tcPr>
            <w:tcW w:type="dxa" w:w="748"/>
          </w:tcPr>
          <w:p>
            <w:pPr>
              <w:pStyle w:val="Compact"/>
            </w:pPr>
          </w:p>
        </w:tc>
        <w:tc>
          <w:tcPr>
            <w:tcW w:type="dxa" w:w="4864"/>
          </w:tcPr>
          <w:p>
            <w:pPr>
              <w:pStyle w:val="Compact"/>
            </w:pPr>
            <w:r>
              <w:rPr>
                <w:b/>
                <w:bCs/>
              </w:rPr>
              <w:t xml:space="preserve">Eligible rent (core rent plus eligible service charges)</w:t>
            </w:r>
          </w:p>
        </w:tc>
        <w:tc>
          <w:tcPr>
            <w:tcW w:type="dxa" w:w="1216"/>
          </w:tcPr>
          <w:p>
            <w:pPr>
              <w:pStyle w:val="Compact"/>
            </w:pPr>
          </w:p>
        </w:tc>
        <w:tc>
          <w:tcPr>
            <w:tcW w:type="dxa" w:w="1309"/>
          </w:tcPr>
          <w:p>
            <w:pPr>
              <w:pStyle w:val="Compact"/>
            </w:pPr>
          </w:p>
        </w:tc>
        <w:tc>
          <w:tcPr>
            <w:tcW w:type="dxa" w:w="1216"/>
          </w:tcPr>
          <w:p>
            <w:pPr>
              <w:pStyle w:val="Compact"/>
            </w:pPr>
            <w:r>
              <w:t xml:space="preserve">Housing Benefit</w:t>
            </w:r>
          </w:p>
        </w:tc>
      </w:tr>
      <w:tr>
        <w:trPr>
          <w:cantSplit/>
        </w:trPr>
        <w:tc>
          <w:tcPr>
            <w:tcW w:type="dxa" w:w="748"/>
            <w:shd w:val="clear" w:color="auto" w:fill="E6ECF4"/>
          </w:tcPr>
          <w:p>
            <w:pPr>
              <w:pStyle w:val="Compact"/>
            </w:pPr>
            <w:r>
              <w:rPr>
                <w:b/>
                <w:bCs/>
              </w:rPr>
              <w:t xml:space="preserve">3</w:t>
            </w:r>
          </w:p>
        </w:tc>
        <w:tc>
          <w:tcPr>
            <w:tcW w:type="dxa" w:w="4864"/>
            <w:shd w:val="clear" w:color="auto" w:fill="E6ECF4"/>
          </w:tcPr>
          <w:p>
            <w:pPr>
              <w:pStyle w:val="Compact"/>
            </w:pPr>
            <w:r>
              <w:rPr>
                <w:b/>
                <w:bCs/>
              </w:rPr>
              <w:t xml:space="preserve">Ineligible costs</w:t>
            </w:r>
          </w:p>
        </w:tc>
        <w:tc>
          <w:tcPr>
            <w:tcW w:type="dxa" w:w="1216"/>
            <w:shd w:val="clear" w:color="auto" w:fill="E6ECF4"/>
          </w:tcPr>
          <w:p>
            <w:pPr>
              <w:pStyle w:val="Compact"/>
            </w:pPr>
          </w:p>
        </w:tc>
        <w:tc>
          <w:tcPr>
            <w:tcW w:type="dxa" w:w="1309"/>
            <w:shd w:val="clear" w:color="auto" w:fill="E6ECF4"/>
          </w:tcPr>
          <w:p>
            <w:pPr>
              <w:pStyle w:val="Compact"/>
            </w:pPr>
          </w:p>
        </w:tc>
        <w:tc>
          <w:tcPr>
            <w:tcW w:type="dxa" w:w="1216"/>
            <w:shd w:val="clear" w:color="auto" w:fill="E6ECF4"/>
          </w:tcPr>
          <w:p>
            <w:pPr>
              <w:pStyle w:val="Compact"/>
            </w:pPr>
          </w:p>
        </w:tc>
      </w:tr>
      <w:tr>
        <w:trPr>
          <w:cantSplit/>
        </w:trPr>
        <w:tc>
          <w:tcPr>
            <w:tcW w:type="dxa" w:w="748"/>
          </w:tcPr>
          <w:p>
            <w:pPr>
              <w:pStyle w:val="Compact"/>
            </w:pPr>
            <w:r>
              <w:t xml:space="preserve">3.1</w:t>
            </w:r>
          </w:p>
        </w:tc>
        <w:tc>
          <w:tcPr>
            <w:tcW w:type="dxa" w:w="4864"/>
          </w:tcPr>
          <w:p>
            <w:pPr>
              <w:pStyle w:val="Compact"/>
            </w:pPr>
            <w:r>
              <w:t xml:space="preserve">Personal support (from Part C)</w:t>
            </w:r>
          </w:p>
        </w:tc>
        <w:tc>
          <w:tcPr>
            <w:tcW w:type="dxa" w:w="1216"/>
          </w:tcPr>
          <w:p>
            <w:pPr>
              <w:pStyle w:val="Compact"/>
            </w:pPr>
          </w:p>
        </w:tc>
        <w:tc>
          <w:tcPr>
            <w:tcW w:type="dxa" w:w="1309"/>
          </w:tcPr>
          <w:p>
            <w:pPr>
              <w:pStyle w:val="Compact"/>
            </w:pPr>
          </w:p>
        </w:tc>
        <w:tc>
          <w:tcPr>
            <w:tcW w:type="dxa" w:w="1216"/>
          </w:tcPr>
          <w:p>
            <w:pPr>
              <w:pStyle w:val="Compact"/>
            </w:pPr>
            <w:r>
              <w:t xml:space="preserve">Ineligible</w:t>
            </w:r>
          </w:p>
        </w:tc>
      </w:tr>
      <w:tr>
        <w:trPr>
          <w:cantSplit/>
        </w:trPr>
        <w:tc>
          <w:tcPr>
            <w:tcW w:type="dxa" w:w="748"/>
            <w:shd w:val="clear" w:color="auto" w:fill="E6ECF4"/>
          </w:tcPr>
          <w:p>
            <w:pPr>
              <w:pStyle w:val="Compact"/>
            </w:pPr>
            <w:r>
              <w:t xml:space="preserve">3.2</w:t>
            </w:r>
          </w:p>
        </w:tc>
        <w:tc>
          <w:tcPr>
            <w:tcW w:type="dxa" w:w="4864"/>
            <w:shd w:val="clear" w:color="auto" w:fill="E6ECF4"/>
          </w:tcPr>
          <w:p>
            <w:pPr>
              <w:pStyle w:val="Compact"/>
            </w:pPr>
            <w:r>
              <w:t xml:space="preserve">Fuel and water for tenants' own rooms</w:t>
            </w:r>
          </w:p>
        </w:tc>
        <w:tc>
          <w:tcPr>
            <w:tcW w:type="dxa" w:w="1216"/>
            <w:shd w:val="clear" w:color="auto" w:fill="E6ECF4"/>
          </w:tcPr>
          <w:p>
            <w:pPr>
              <w:pStyle w:val="Compact"/>
            </w:pPr>
          </w:p>
        </w:tc>
        <w:tc>
          <w:tcPr>
            <w:tcW w:type="dxa" w:w="1309"/>
            <w:shd w:val="clear" w:color="auto" w:fill="E6ECF4"/>
          </w:tcPr>
          <w:p>
            <w:pPr>
              <w:pStyle w:val="Compact"/>
            </w:pPr>
          </w:p>
        </w:tc>
        <w:tc>
          <w:tcPr>
            <w:tcW w:type="dxa" w:w="1216"/>
            <w:shd w:val="clear" w:color="auto" w:fill="E6ECF4"/>
          </w:tcPr>
          <w:p>
            <w:pPr>
              <w:pStyle w:val="Compact"/>
            </w:pPr>
            <w:r>
              <w:t xml:space="preserve">Ineligible</w:t>
            </w:r>
          </w:p>
        </w:tc>
      </w:tr>
      <w:tr>
        <w:trPr>
          <w:cantSplit/>
        </w:trPr>
        <w:tc>
          <w:tcPr>
            <w:tcW w:type="dxa" w:w="748"/>
          </w:tcPr>
          <w:p>
            <w:pPr>
              <w:pStyle w:val="Compact"/>
            </w:pPr>
            <w:r>
              <w:t xml:space="preserve">3.3</w:t>
            </w:r>
          </w:p>
        </w:tc>
        <w:tc>
          <w:tcPr>
            <w:tcW w:type="dxa" w:w="4864"/>
          </w:tcPr>
          <w:p>
            <w:pPr>
              <w:pStyle w:val="Compact"/>
            </w:pPr>
            <w:r>
              <w:t xml:space="preserve">Meals, laundry service, emergency alarm, TV licence and other ineligible items (list)</w:t>
            </w:r>
          </w:p>
        </w:tc>
        <w:tc>
          <w:tcPr>
            <w:tcW w:type="dxa" w:w="1216"/>
          </w:tcPr>
          <w:p>
            <w:pPr>
              <w:pStyle w:val="Compact"/>
            </w:pPr>
          </w:p>
        </w:tc>
        <w:tc>
          <w:tcPr>
            <w:tcW w:type="dxa" w:w="1309"/>
          </w:tcPr>
          <w:p>
            <w:pPr>
              <w:pStyle w:val="Compact"/>
            </w:pPr>
          </w:p>
        </w:tc>
        <w:tc>
          <w:tcPr>
            <w:tcW w:type="dxa" w:w="1216"/>
          </w:tcPr>
          <w:p>
            <w:pPr>
              <w:pStyle w:val="Compact"/>
            </w:pPr>
            <w:r>
              <w:t xml:space="preserve">Ineligible</w:t>
            </w:r>
          </w:p>
        </w:tc>
      </w:tr>
      <w:tr>
        <w:trPr>
          <w:cantSplit/>
        </w:trPr>
        <w:tc>
          <w:tcPr>
            <w:tcW w:type="dxa" w:w="748"/>
            <w:shd w:val="clear" w:color="auto" w:fill="E6ECF4"/>
          </w:tcPr>
          <w:p>
            <w:pPr>
              <w:pStyle w:val="Compact"/>
            </w:pPr>
            <w:r>
              <w:t xml:space="preserve">3.4</w:t>
            </w:r>
          </w:p>
        </w:tc>
        <w:tc>
          <w:tcPr>
            <w:tcW w:type="dxa" w:w="4864"/>
            <w:shd w:val="clear" w:color="auto" w:fill="E6ECF4"/>
          </w:tcPr>
          <w:p>
            <w:pPr>
              <w:pStyle w:val="Compact"/>
            </w:pPr>
            <w:r>
              <w:t xml:space="preserve">Overheads, voids and bad debts on ineligible costs</w:t>
            </w:r>
          </w:p>
        </w:tc>
        <w:tc>
          <w:tcPr>
            <w:tcW w:type="dxa" w:w="1216"/>
            <w:shd w:val="clear" w:color="auto" w:fill="E6ECF4"/>
          </w:tcPr>
          <w:p>
            <w:pPr>
              <w:pStyle w:val="Compact"/>
            </w:pPr>
          </w:p>
        </w:tc>
        <w:tc>
          <w:tcPr>
            <w:tcW w:type="dxa" w:w="1309"/>
            <w:shd w:val="clear" w:color="auto" w:fill="E6ECF4"/>
          </w:tcPr>
          <w:p>
            <w:pPr>
              <w:pStyle w:val="Compact"/>
            </w:pPr>
          </w:p>
        </w:tc>
        <w:tc>
          <w:tcPr>
            <w:tcW w:type="dxa" w:w="1216"/>
            <w:shd w:val="clear" w:color="auto" w:fill="E6ECF4"/>
          </w:tcPr>
          <w:p>
            <w:pPr>
              <w:pStyle w:val="Compact"/>
            </w:pPr>
            <w:r>
              <w:t xml:space="preserve">Ineligible</w:t>
            </w:r>
          </w:p>
        </w:tc>
      </w:tr>
      <w:tr>
        <w:trPr>
          <w:cantSplit/>
        </w:trPr>
        <w:tc>
          <w:tcPr>
            <w:tcW w:type="dxa" w:w="748"/>
          </w:tcPr>
          <w:p>
            <w:pPr>
              <w:pStyle w:val="Compact"/>
            </w:pPr>
          </w:p>
        </w:tc>
        <w:tc>
          <w:tcPr>
            <w:tcW w:type="dxa" w:w="4864"/>
          </w:tcPr>
          <w:p>
            <w:pPr>
              <w:pStyle w:val="Compact"/>
            </w:pPr>
            <w:r>
              <w:rPr>
                <w:b/>
                <w:bCs/>
              </w:rPr>
              <w:t xml:space="preserve">Ineligible costs total</w:t>
            </w:r>
          </w:p>
        </w:tc>
        <w:tc>
          <w:tcPr>
            <w:tcW w:type="dxa" w:w="1216"/>
          </w:tcPr>
          <w:p>
            <w:pPr>
              <w:pStyle w:val="Compact"/>
            </w:pPr>
          </w:p>
        </w:tc>
        <w:tc>
          <w:tcPr>
            <w:tcW w:type="dxa" w:w="1309"/>
          </w:tcPr>
          <w:p>
            <w:pPr>
              <w:pStyle w:val="Compact"/>
            </w:pPr>
          </w:p>
        </w:tc>
        <w:tc>
          <w:tcPr>
            <w:tcW w:type="dxa" w:w="1216"/>
          </w:tcPr>
          <w:p>
            <w:pPr>
              <w:pStyle w:val="Compact"/>
            </w:pPr>
          </w:p>
        </w:tc>
      </w:tr>
    </w:tbl>
    <w:p>
      <w:pPr>
        <w:pStyle w:val="BodyText"/>
      </w:pPr>
      <w:r>
        <w:rPr>
          <w:b/>
          <w:bCs/>
        </w:rPr>
        <w:t xml:space="preserve">How ineligible costs are funded.</w:t>
      </w:r>
      <w:r>
        <w:t xml:space="preserve"> </w:t>
      </w:r>
      <w:r>
        <w:t xml:space="preserve">For each ineligible line, say whether it is charged to the tenant, funded by a commissioner or grant, or met from the provider's own funds (DWP guidance, paras 160 to 162).</w:t>
      </w:r>
    </w:p>
    <w:bookmarkEnd w:id="12"/>
    <w:bookmarkStart w:id="17" w:name="part-c-apportionment-worksheet"/>
    <w:p>
      <w:pPr>
        <w:pStyle w:val="Heading2"/>
        <w:pageBreakBefore/>
        <w:pBdr>
          <w:bottom w:val="single" w:sz="12" w:space="4" w:color="FF9202"/>
        </w:pBdr>
      </w:pPr>
      <w:r>
        <w:t xml:space="preserve">Part C: Apportionment worksheet</w:t>
      </w:r>
    </w:p>
    <w:p>
      <w:pPr>
        <w:pStyle w:val="FirstParagraph"/>
      </w:pPr>
      <w:r>
        <w:t xml:space="preserve">Use this worksheet for every cost that covers more than one type of service, which in most schemes is mainly staff time. It follows the method in</w:t>
      </w:r>
      <w:r>
        <w:t xml:space="preserve"> </w:t>
      </w:r>
      <w:r>
        <w:rPr>
          <w:i/>
          <w:iCs/>
        </w:rPr>
        <w:t xml:space="preserve">ET v Rossendale</w:t>
      </w:r>
      <w:r>
        <w:t xml:space="preserve"> </w:t>
      </w:r>
      <w:r>
        <w:t xml:space="preserve">(para 39): the total cost of employing the staff, apportioned by the time they spend on each service.</w:t>
      </w:r>
    </w:p>
    <w:bookmarkStart w:id="13" w:name="c1-staff-costs-charged-to-the-scheme"/>
    <w:p>
      <w:pPr>
        <w:pStyle w:val="Heading3"/>
      </w:pPr>
      <w:r>
        <w:t xml:space="preserve">C1. Staff costs charged to the scheme</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2057"/>
        <w:gridCol w:w="2057"/>
        <w:gridCol w:w="3367"/>
        <w:gridCol w:w="1870"/>
      </w:tblGrid>
      <w:tr>
        <w:trPr>
          <w:tblHeader w:val="on"/>
          <w:cantSplit/>
          <w:tblHeader w:val="true"/>
        </w:trPr>
        <w:tc>
          <w:tcPr>
            <w:tcW w:type="dxa" w:w="2057"/>
            <w:shd w:val="clear" w:color="auto" w:fill="002F6D"/>
          </w:tcPr>
          <w:p>
            <w:pPr>
              <w:pStyle w:val="Compact"/>
            </w:pPr>
            <w:r>
              <w:rPr>
                <w:b/>
                <w:color w:val="FFFFFF"/>
              </w:rPr>
              <w:t xml:space="preserve">Role</w:t>
            </w:r>
          </w:p>
        </w:tc>
        <w:tc>
          <w:tcPr>
            <w:tcW w:type="dxa" w:w="2057"/>
            <w:shd w:val="clear" w:color="auto" w:fill="002F6D"/>
          </w:tcPr>
          <w:p>
            <w:pPr>
              <w:pStyle w:val="Compact"/>
            </w:pPr>
            <w:r>
              <w:rPr>
                <w:b/>
                <w:color w:val="FFFFFF"/>
              </w:rPr>
              <w:t xml:space="preserve">Annual cost including on-costs (£)</w:t>
            </w:r>
          </w:p>
        </w:tc>
        <w:tc>
          <w:tcPr>
            <w:tcW w:type="dxa" w:w="3367"/>
            <w:shd w:val="clear" w:color="auto" w:fill="002F6D"/>
          </w:tcPr>
          <w:p>
            <w:pPr>
              <w:pStyle w:val="Compact"/>
            </w:pPr>
            <w:r>
              <w:rPr>
                <w:b/>
                <w:color w:val="FFFFFF"/>
              </w:rPr>
              <w:t xml:space="preserve">Share charged to this scheme, and basis</w:t>
            </w:r>
          </w:p>
        </w:tc>
        <w:tc>
          <w:tcPr>
            <w:tcW w:type="dxa" w:w="1870"/>
            <w:shd w:val="clear" w:color="auto" w:fill="002F6D"/>
          </w:tcPr>
          <w:p>
            <w:pPr>
              <w:pStyle w:val="Compact"/>
            </w:pPr>
            <w:r>
              <w:rPr>
                <w:b/>
                <w:color w:val="FFFFFF"/>
              </w:rPr>
              <w:t xml:space="preserve">£ to this scheme</w:t>
            </w:r>
          </w:p>
        </w:tc>
      </w:tr>
      <w:tr>
        <w:trPr>
          <w:cantSplit/>
        </w:trPr>
        <w:tc>
          <w:tcPr>
            <w:tcW w:type="dxa" w:w="2057"/>
          </w:tcPr>
          <w:p>
            <w:pPr>
              <w:pStyle w:val="Compact"/>
            </w:pPr>
          </w:p>
        </w:tc>
        <w:tc>
          <w:tcPr>
            <w:tcW w:type="dxa" w:w="2057"/>
          </w:tcPr>
          <w:p>
            <w:pPr>
              <w:pStyle w:val="Compact"/>
            </w:pPr>
          </w:p>
        </w:tc>
        <w:tc>
          <w:tcPr>
            <w:tcW w:type="dxa" w:w="3367"/>
          </w:tcPr>
          <w:p>
            <w:pPr>
              <w:pStyle w:val="Compact"/>
            </w:pPr>
          </w:p>
        </w:tc>
        <w:tc>
          <w:tcPr>
            <w:tcW w:type="dxa" w:w="1870"/>
          </w:tcPr>
          <w:p>
            <w:pPr>
              <w:pStyle w:val="Compact"/>
            </w:pPr>
          </w:p>
        </w:tc>
      </w:tr>
      <w:tr>
        <w:trPr>
          <w:cantSplit/>
        </w:trPr>
        <w:tc>
          <w:tcPr>
            <w:tcW w:type="dxa" w:w="2057"/>
            <w:shd w:val="clear" w:color="auto" w:fill="E6ECF4"/>
          </w:tcPr>
          <w:p>
            <w:pPr>
              <w:pStyle w:val="Compact"/>
            </w:pPr>
          </w:p>
        </w:tc>
        <w:tc>
          <w:tcPr>
            <w:tcW w:type="dxa" w:w="2057"/>
            <w:shd w:val="clear" w:color="auto" w:fill="E6ECF4"/>
          </w:tcPr>
          <w:p>
            <w:pPr>
              <w:pStyle w:val="Compact"/>
            </w:pPr>
          </w:p>
        </w:tc>
        <w:tc>
          <w:tcPr>
            <w:tcW w:type="dxa" w:w="3367"/>
            <w:shd w:val="clear" w:color="auto" w:fill="E6ECF4"/>
          </w:tcPr>
          <w:p>
            <w:pPr>
              <w:pStyle w:val="Compact"/>
            </w:pPr>
          </w:p>
        </w:tc>
        <w:tc>
          <w:tcPr>
            <w:tcW w:type="dxa" w:w="1870"/>
            <w:shd w:val="clear" w:color="auto" w:fill="E6ECF4"/>
          </w:tcPr>
          <w:p>
            <w:pPr>
              <w:pStyle w:val="Compact"/>
            </w:pPr>
          </w:p>
        </w:tc>
      </w:tr>
      <w:tr>
        <w:trPr>
          <w:cantSplit/>
        </w:trPr>
        <w:tc>
          <w:tcPr>
            <w:tcW w:type="dxa" w:w="2057"/>
          </w:tcPr>
          <w:p>
            <w:pPr>
              <w:pStyle w:val="Compact"/>
            </w:pPr>
          </w:p>
        </w:tc>
        <w:tc>
          <w:tcPr>
            <w:tcW w:type="dxa" w:w="2057"/>
          </w:tcPr>
          <w:p>
            <w:pPr>
              <w:pStyle w:val="Compact"/>
            </w:pPr>
          </w:p>
        </w:tc>
        <w:tc>
          <w:tcPr>
            <w:tcW w:type="dxa" w:w="3367"/>
          </w:tcPr>
          <w:p>
            <w:pPr>
              <w:pStyle w:val="Compact"/>
            </w:pPr>
          </w:p>
        </w:tc>
        <w:tc>
          <w:tcPr>
            <w:tcW w:type="dxa" w:w="1870"/>
          </w:tcPr>
          <w:p>
            <w:pPr>
              <w:pStyle w:val="Compact"/>
            </w:pPr>
          </w:p>
        </w:tc>
      </w:tr>
    </w:tbl>
    <w:bookmarkEnd w:id="13"/>
    <w:bookmarkStart w:id="14" w:name="c2-how-each-roles-time-is-spent"/>
    <w:p>
      <w:pPr>
        <w:pStyle w:val="Heading3"/>
      </w:pPr>
      <w:r>
        <w:t xml:space="preserve">C2. How each role's time is spent</w:t>
      </w:r>
    </w:p>
    <w:p>
      <w:pPr>
        <w:pStyle w:val="FirstParagraph"/>
      </w:pPr>
      <w:r>
        <w:t xml:space="preserve">Use the same type codes as Appendices 6 and 7: HRS (housing-related support), IHM (intensive housing management and maintenance), SUP (supervision), CPS (care or personal support), and HM (general housing management). Time on recording, travel and team meetings should be spread across the other activities in proportion, and the method stated.</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1683"/>
        <w:gridCol w:w="4115"/>
        <w:gridCol w:w="935"/>
        <w:gridCol w:w="935"/>
        <w:gridCol w:w="1683"/>
      </w:tblGrid>
      <w:tr>
        <w:trPr>
          <w:tblHeader w:val="on"/>
          <w:cantSplit/>
          <w:tblHeader w:val="true"/>
        </w:trPr>
        <w:tc>
          <w:tcPr>
            <w:tcW w:type="dxa" w:w="1683"/>
            <w:shd w:val="clear" w:color="auto" w:fill="002F6D"/>
          </w:tcPr>
          <w:p>
            <w:pPr>
              <w:pStyle w:val="Compact"/>
            </w:pPr>
            <w:r>
              <w:rPr>
                <w:b/>
                <w:color w:val="FFFFFF"/>
              </w:rPr>
              <w:t xml:space="preserve">Role</w:t>
            </w:r>
          </w:p>
        </w:tc>
        <w:tc>
          <w:tcPr>
            <w:tcW w:type="dxa" w:w="4115"/>
            <w:shd w:val="clear" w:color="auto" w:fill="002F6D"/>
          </w:tcPr>
          <w:p>
            <w:pPr>
              <w:pStyle w:val="Compact"/>
            </w:pPr>
            <w:r>
              <w:rPr>
                <w:b/>
                <w:color w:val="FFFFFF"/>
              </w:rPr>
              <w:t xml:space="preserve">Activity</w:t>
            </w:r>
          </w:p>
        </w:tc>
        <w:tc>
          <w:tcPr>
            <w:tcW w:type="dxa" w:w="935"/>
            <w:shd w:val="clear" w:color="auto" w:fill="002F6D"/>
          </w:tcPr>
          <w:p>
            <w:pPr>
              <w:pStyle w:val="Compact"/>
            </w:pPr>
            <w:r>
              <w:rPr>
                <w:b/>
                <w:color w:val="FFFFFF"/>
              </w:rPr>
              <w:t xml:space="preserve">% of time</w:t>
            </w:r>
          </w:p>
        </w:tc>
        <w:tc>
          <w:tcPr>
            <w:tcW w:type="dxa" w:w="935"/>
            <w:shd w:val="clear" w:color="auto" w:fill="002F6D"/>
          </w:tcPr>
          <w:p>
            <w:pPr>
              <w:pStyle w:val="Compact"/>
            </w:pPr>
            <w:r>
              <w:rPr>
                <w:b/>
                <w:color w:val="FFFFFF"/>
              </w:rPr>
              <w:t xml:space="preserve">Type</w:t>
            </w:r>
          </w:p>
        </w:tc>
        <w:tc>
          <w:tcPr>
            <w:tcW w:type="dxa" w:w="1683"/>
            <w:shd w:val="clear" w:color="auto" w:fill="002F6D"/>
          </w:tcPr>
          <w:p>
            <w:pPr>
              <w:pStyle w:val="Compact"/>
            </w:pPr>
            <w:r>
              <w:rPr>
                <w:b/>
                <w:color w:val="FFFFFF"/>
              </w:rPr>
              <w:t xml:space="preserve">Treatment</w:t>
            </w:r>
          </w:p>
        </w:tc>
      </w:tr>
      <w:tr>
        <w:trPr>
          <w:cantSplit/>
        </w:trPr>
        <w:tc>
          <w:tcPr>
            <w:tcW w:type="dxa" w:w="1683"/>
          </w:tcPr>
          <w:p>
            <w:pPr>
              <w:pStyle w:val="Compact"/>
            </w:pPr>
          </w:p>
        </w:tc>
        <w:tc>
          <w:tcPr>
            <w:tcW w:type="dxa" w:w="4115"/>
          </w:tcPr>
          <w:p>
            <w:pPr>
              <w:pStyle w:val="Compact"/>
            </w:pPr>
          </w:p>
        </w:tc>
        <w:tc>
          <w:tcPr>
            <w:tcW w:type="dxa" w:w="935"/>
          </w:tcPr>
          <w:p>
            <w:pPr>
              <w:pStyle w:val="Compact"/>
            </w:pPr>
          </w:p>
        </w:tc>
        <w:tc>
          <w:tcPr>
            <w:tcW w:type="dxa" w:w="935"/>
          </w:tcPr>
          <w:p>
            <w:pPr>
              <w:pStyle w:val="Compact"/>
            </w:pPr>
          </w:p>
        </w:tc>
        <w:tc>
          <w:tcPr>
            <w:tcW w:type="dxa" w:w="1683"/>
          </w:tcPr>
          <w:p>
            <w:pPr>
              <w:pStyle w:val="Compact"/>
            </w:pPr>
          </w:p>
        </w:tc>
      </w:tr>
      <w:tr>
        <w:trPr>
          <w:cantSplit/>
        </w:trPr>
        <w:tc>
          <w:tcPr>
            <w:tcW w:type="dxa" w:w="1683"/>
            <w:shd w:val="clear" w:color="auto" w:fill="E6ECF4"/>
          </w:tcPr>
          <w:p>
            <w:pPr>
              <w:pStyle w:val="Compact"/>
            </w:pPr>
          </w:p>
        </w:tc>
        <w:tc>
          <w:tcPr>
            <w:tcW w:type="dxa" w:w="4115"/>
            <w:shd w:val="clear" w:color="auto" w:fill="E6ECF4"/>
          </w:tcPr>
          <w:p>
            <w:pPr>
              <w:pStyle w:val="Compact"/>
            </w:pPr>
          </w:p>
        </w:tc>
        <w:tc>
          <w:tcPr>
            <w:tcW w:type="dxa" w:w="935"/>
            <w:shd w:val="clear" w:color="auto" w:fill="E6ECF4"/>
          </w:tcPr>
          <w:p>
            <w:pPr>
              <w:pStyle w:val="Compact"/>
            </w:pPr>
          </w:p>
        </w:tc>
        <w:tc>
          <w:tcPr>
            <w:tcW w:type="dxa" w:w="935"/>
            <w:shd w:val="clear" w:color="auto" w:fill="E6ECF4"/>
          </w:tcPr>
          <w:p>
            <w:pPr>
              <w:pStyle w:val="Compact"/>
            </w:pPr>
          </w:p>
        </w:tc>
        <w:tc>
          <w:tcPr>
            <w:tcW w:type="dxa" w:w="1683"/>
            <w:shd w:val="clear" w:color="auto" w:fill="E6ECF4"/>
          </w:tcPr>
          <w:p>
            <w:pPr>
              <w:pStyle w:val="Compact"/>
            </w:pPr>
          </w:p>
        </w:tc>
      </w:tr>
      <w:tr>
        <w:trPr>
          <w:cantSplit/>
        </w:trPr>
        <w:tc>
          <w:tcPr>
            <w:tcW w:type="dxa" w:w="1683"/>
          </w:tcPr>
          <w:p>
            <w:pPr>
              <w:pStyle w:val="Compact"/>
            </w:pPr>
          </w:p>
        </w:tc>
        <w:tc>
          <w:tcPr>
            <w:tcW w:type="dxa" w:w="4115"/>
          </w:tcPr>
          <w:p>
            <w:pPr>
              <w:pStyle w:val="Compact"/>
            </w:pPr>
          </w:p>
        </w:tc>
        <w:tc>
          <w:tcPr>
            <w:tcW w:type="dxa" w:w="935"/>
          </w:tcPr>
          <w:p>
            <w:pPr>
              <w:pStyle w:val="Compact"/>
            </w:pPr>
          </w:p>
        </w:tc>
        <w:tc>
          <w:tcPr>
            <w:tcW w:type="dxa" w:w="935"/>
          </w:tcPr>
          <w:p>
            <w:pPr>
              <w:pStyle w:val="Compact"/>
            </w:pPr>
          </w:p>
        </w:tc>
        <w:tc>
          <w:tcPr>
            <w:tcW w:type="dxa" w:w="1683"/>
          </w:tcPr>
          <w:p>
            <w:pPr>
              <w:pStyle w:val="Compact"/>
            </w:pPr>
          </w:p>
        </w:tc>
      </w:tr>
    </w:tbl>
    <w:bookmarkEnd w:id="14"/>
    <w:bookmarkStart w:id="15" w:name="c3-result"/>
    <w:p>
      <w:pPr>
        <w:pStyle w:val="Heading3"/>
      </w:pPr>
      <w:r>
        <w:t xml:space="preserve">C3. Result</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2338"/>
        <w:gridCol w:w="2338"/>
        <w:gridCol w:w="2338"/>
        <w:gridCol w:w="2338"/>
      </w:tblGrid>
      <w:tr>
        <w:trPr>
          <w:tblHeader w:val="on"/>
          <w:cantSplit/>
          <w:tblHeader w:val="true"/>
        </w:trPr>
        <w:tc>
          <w:tcPr>
            <w:tcW w:type="dxa" w:w="2338"/>
            <w:shd w:val="clear" w:color="auto" w:fill="002F6D"/>
          </w:tcPr>
          <w:p>
            <w:pPr>
              <w:pStyle w:val="Compact"/>
            </w:pPr>
            <w:r>
              <w:rPr>
                <w:b/>
                <w:color w:val="FFFFFF"/>
              </w:rPr>
              <w:t xml:space="preserve">Activity type</w:t>
            </w:r>
          </w:p>
        </w:tc>
        <w:tc>
          <w:tcPr>
            <w:tcW w:type="dxa" w:w="2338"/>
            <w:shd w:val="clear" w:color="auto" w:fill="002F6D"/>
          </w:tcPr>
          <w:p>
            <w:pPr>
              <w:pStyle w:val="Compact"/>
            </w:pPr>
            <w:r>
              <w:rPr>
                <w:b/>
                <w:color w:val="FFFFFF"/>
              </w:rPr>
              <w:t xml:space="preserve">% of staff cost</w:t>
            </w:r>
          </w:p>
        </w:tc>
        <w:tc>
          <w:tcPr>
            <w:tcW w:type="dxa" w:w="2338"/>
            <w:shd w:val="clear" w:color="auto" w:fill="002F6D"/>
          </w:tcPr>
          <w:p>
            <w:pPr>
              <w:pStyle w:val="Compact"/>
            </w:pPr>
            <w:r>
              <w:rPr>
                <w:b/>
                <w:color w:val="FFFFFF"/>
              </w:rPr>
              <w:t xml:space="preserve">£ per year</w:t>
            </w:r>
          </w:p>
        </w:tc>
        <w:tc>
          <w:tcPr>
            <w:tcW w:type="dxa" w:w="2338"/>
            <w:shd w:val="clear" w:color="auto" w:fill="002F6D"/>
          </w:tcPr>
          <w:p>
            <w:pPr>
              <w:pStyle w:val="Compact"/>
            </w:pPr>
            <w:r>
              <w:rPr>
                <w:b/>
                <w:color w:val="FFFFFF"/>
              </w:rPr>
              <w:t xml:space="preserve">Build-up line</w:t>
            </w:r>
          </w:p>
        </w:tc>
      </w:tr>
      <w:tr>
        <w:trPr>
          <w:cantSplit/>
        </w:trPr>
        <w:tc>
          <w:tcPr>
            <w:tcW w:type="dxa" w:w="2338"/>
          </w:tcPr>
          <w:p>
            <w:pPr>
              <w:pStyle w:val="Compact"/>
            </w:pPr>
            <w:r>
              <w:t xml:space="preserve">HM</w:t>
            </w:r>
          </w:p>
        </w:tc>
        <w:tc>
          <w:tcPr>
            <w:tcW w:type="dxa" w:w="2338"/>
          </w:tcPr>
          <w:p>
            <w:pPr>
              <w:pStyle w:val="Compact"/>
            </w:pPr>
          </w:p>
        </w:tc>
        <w:tc>
          <w:tcPr>
            <w:tcW w:type="dxa" w:w="2338"/>
          </w:tcPr>
          <w:p>
            <w:pPr>
              <w:pStyle w:val="Compact"/>
            </w:pPr>
          </w:p>
        </w:tc>
        <w:tc>
          <w:tcPr>
            <w:tcW w:type="dxa" w:w="2338"/>
          </w:tcPr>
          <w:p>
            <w:pPr>
              <w:pStyle w:val="Compact"/>
            </w:pPr>
            <w:r>
              <w:t xml:space="preserve">1.4</w:t>
            </w:r>
          </w:p>
        </w:tc>
      </w:tr>
      <w:tr>
        <w:trPr>
          <w:cantSplit/>
        </w:trPr>
        <w:tc>
          <w:tcPr>
            <w:tcW w:type="dxa" w:w="2338"/>
            <w:shd w:val="clear" w:color="auto" w:fill="E6ECF4"/>
          </w:tcPr>
          <w:p>
            <w:pPr>
              <w:pStyle w:val="Compact"/>
            </w:pPr>
            <w:r>
              <w:t xml:space="preserve">IHM</w:t>
            </w:r>
          </w:p>
        </w:tc>
        <w:tc>
          <w:tcPr>
            <w:tcW w:type="dxa" w:w="2338"/>
            <w:shd w:val="clear" w:color="auto" w:fill="E6ECF4"/>
          </w:tcPr>
          <w:p>
            <w:pPr>
              <w:pStyle w:val="Compact"/>
            </w:pPr>
          </w:p>
        </w:tc>
        <w:tc>
          <w:tcPr>
            <w:tcW w:type="dxa" w:w="2338"/>
            <w:shd w:val="clear" w:color="auto" w:fill="E6ECF4"/>
          </w:tcPr>
          <w:p>
            <w:pPr>
              <w:pStyle w:val="Compact"/>
            </w:pPr>
          </w:p>
        </w:tc>
        <w:tc>
          <w:tcPr>
            <w:tcW w:type="dxa" w:w="2338"/>
            <w:shd w:val="clear" w:color="auto" w:fill="E6ECF4"/>
          </w:tcPr>
          <w:p>
            <w:pPr>
              <w:pStyle w:val="Compact"/>
            </w:pPr>
            <w:r>
              <w:t xml:space="preserve">2.1</w:t>
            </w:r>
          </w:p>
        </w:tc>
      </w:tr>
      <w:tr>
        <w:trPr>
          <w:cantSplit/>
        </w:trPr>
        <w:tc>
          <w:tcPr>
            <w:tcW w:type="dxa" w:w="2338"/>
          </w:tcPr>
          <w:p>
            <w:pPr>
              <w:pStyle w:val="Compact"/>
            </w:pPr>
            <w:r>
              <w:t xml:space="preserve">HRS</w:t>
            </w:r>
          </w:p>
        </w:tc>
        <w:tc>
          <w:tcPr>
            <w:tcW w:type="dxa" w:w="2338"/>
          </w:tcPr>
          <w:p>
            <w:pPr>
              <w:pStyle w:val="Compact"/>
            </w:pPr>
          </w:p>
        </w:tc>
        <w:tc>
          <w:tcPr>
            <w:tcW w:type="dxa" w:w="2338"/>
          </w:tcPr>
          <w:p>
            <w:pPr>
              <w:pStyle w:val="Compact"/>
            </w:pPr>
          </w:p>
        </w:tc>
        <w:tc>
          <w:tcPr>
            <w:tcW w:type="dxa" w:w="2338"/>
          </w:tcPr>
          <w:p>
            <w:pPr>
              <w:pStyle w:val="Compact"/>
            </w:pPr>
            <w:r>
              <w:t xml:space="preserve">2.2</w:t>
            </w:r>
          </w:p>
        </w:tc>
      </w:tr>
      <w:tr>
        <w:trPr>
          <w:cantSplit/>
        </w:trPr>
        <w:tc>
          <w:tcPr>
            <w:tcW w:type="dxa" w:w="2338"/>
            <w:shd w:val="clear" w:color="auto" w:fill="E6ECF4"/>
          </w:tcPr>
          <w:p>
            <w:pPr>
              <w:pStyle w:val="Compact"/>
            </w:pPr>
            <w:r>
              <w:t xml:space="preserve">SUP</w:t>
            </w:r>
          </w:p>
        </w:tc>
        <w:tc>
          <w:tcPr>
            <w:tcW w:type="dxa" w:w="2338"/>
            <w:shd w:val="clear" w:color="auto" w:fill="E6ECF4"/>
          </w:tcPr>
          <w:p>
            <w:pPr>
              <w:pStyle w:val="Compact"/>
            </w:pPr>
          </w:p>
        </w:tc>
        <w:tc>
          <w:tcPr>
            <w:tcW w:type="dxa" w:w="2338"/>
            <w:shd w:val="clear" w:color="auto" w:fill="E6ECF4"/>
          </w:tcPr>
          <w:p>
            <w:pPr>
              <w:pStyle w:val="Compact"/>
            </w:pPr>
          </w:p>
        </w:tc>
        <w:tc>
          <w:tcPr>
            <w:tcW w:type="dxa" w:w="2338"/>
            <w:shd w:val="clear" w:color="auto" w:fill="E6ECF4"/>
          </w:tcPr>
          <w:p>
            <w:pPr>
              <w:pStyle w:val="Compact"/>
            </w:pPr>
            <w:r>
              <w:t xml:space="preserve">2.3</w:t>
            </w:r>
          </w:p>
        </w:tc>
      </w:tr>
      <w:tr>
        <w:trPr>
          <w:cantSplit/>
        </w:trPr>
        <w:tc>
          <w:tcPr>
            <w:tcW w:type="dxa" w:w="2338"/>
          </w:tcPr>
          <w:p>
            <w:pPr>
              <w:pStyle w:val="Compact"/>
            </w:pPr>
            <w:r>
              <w:t xml:space="preserve">CPS</w:t>
            </w:r>
          </w:p>
        </w:tc>
        <w:tc>
          <w:tcPr>
            <w:tcW w:type="dxa" w:w="2338"/>
          </w:tcPr>
          <w:p>
            <w:pPr>
              <w:pStyle w:val="Compact"/>
            </w:pPr>
          </w:p>
        </w:tc>
        <w:tc>
          <w:tcPr>
            <w:tcW w:type="dxa" w:w="2338"/>
          </w:tcPr>
          <w:p>
            <w:pPr>
              <w:pStyle w:val="Compact"/>
            </w:pPr>
          </w:p>
        </w:tc>
        <w:tc>
          <w:tcPr>
            <w:tcW w:type="dxa" w:w="2338"/>
          </w:tcPr>
          <w:p>
            <w:pPr>
              <w:pStyle w:val="Compact"/>
            </w:pPr>
            <w:r>
              <w:t xml:space="preserve">3.1</w:t>
            </w:r>
          </w:p>
        </w:tc>
      </w:tr>
    </w:tbl>
    <w:bookmarkEnd w:id="15"/>
    <w:bookmarkStart w:id="16" w:name="c4-evidence-for-the-apportionment"/>
    <w:p>
      <w:pPr>
        <w:pStyle w:val="Heading3"/>
      </w:pPr>
      <w:r>
        <w:t xml:space="preserve">C4. Evidence for the apportionment</w:t>
      </w:r>
    </w:p>
    <w:p>
      <w:pPr>
        <w:pStyle w:val="FirstParagraph"/>
      </w:pPr>
      <w:r>
        <w:t xml:space="preserve">The case law expects "sufficiently detailed evidence of the amount of time devoted by staff" to each service (</w:t>
      </w:r>
      <w:r>
        <w:rPr>
          <w:i/>
          <w:iCs/>
        </w:rPr>
        <w:t xml:space="preserve">ET v Rossendale</w:t>
      </w:r>
      <w:r>
        <w:t xml:space="preserve">, para 20; Chapter 9, 9.3). Keep, and provide on request:</w:t>
      </w:r>
    </w:p>
    <w:p>
      <w:pPr>
        <w:pStyle w:val="Compact"/>
        <w:numPr>
          <w:ilvl w:val="0"/>
          <w:numId w:val="1003"/>
        </w:numPr>
      </w:pPr>
      <w:r>
        <w:t xml:space="preserve">job descriptions for each role</w:t>
      </w:r>
    </w:p>
    <w:p>
      <w:pPr>
        <w:pStyle w:val="Compact"/>
        <w:numPr>
          <w:ilvl w:val="0"/>
          <w:numId w:val="1003"/>
        </w:numPr>
      </w:pPr>
      <w:r>
        <w:t xml:space="preserve">contracted hours, and how many schemes and tenants each role covers</w:t>
      </w:r>
    </w:p>
    <w:p>
      <w:pPr>
        <w:pStyle w:val="Compact"/>
        <w:numPr>
          <w:ilvl w:val="0"/>
          <w:numId w:val="1003"/>
        </w:numPr>
      </w:pPr>
      <w:r>
        <w:t xml:space="preserve">what staff do in the time attributed to each service and in the rest of their time</w:t>
      </w:r>
    </w:p>
    <w:p>
      <w:pPr>
        <w:pStyle w:val="Compact"/>
        <w:numPr>
          <w:ilvl w:val="0"/>
          <w:numId w:val="1003"/>
        </w:numPr>
      </w:pPr>
      <w:r>
        <w:t xml:space="preserve">how the percentages were worked out, for example from a time recording sample or the activity logs in Appendix 7</w:t>
      </w:r>
    </w:p>
    <w:p>
      <w:pPr>
        <w:pStyle w:val="Compact"/>
        <w:numPr>
          <w:ilvl w:val="0"/>
          <w:numId w:val="1003"/>
        </w:numPr>
      </w:pPr>
      <w:r>
        <w:t xml:space="preserve">the basis for any overhead percentage, such as central costs as a share of total expenditure</w:t>
      </w:r>
    </w:p>
    <w:bookmarkEnd w:id="16"/>
    <w:bookmarkEnd w:id="17"/>
    <w:bookmarkStart w:id="18" w:name="part-d-year-on-year-comparison"/>
    <w:p>
      <w:pPr>
        <w:pStyle w:val="Heading2"/>
        <w:pageBreakBefore/>
        <w:pBdr>
          <w:bottom w:val="single" w:sz="12" w:space="4" w:color="FF9202"/>
        </w:pBdr>
      </w:pPr>
      <w:r>
        <w:t xml:space="preserve">Part D: Year-on-year comparison</w:t>
      </w:r>
    </w:p>
    <w:p>
      <w:pPr>
        <w:pStyle w:val="FirstParagraph"/>
      </w:pPr>
      <w:r>
        <w:t xml:space="preserve">Complete on every rent increase. Explain each material change (DWP guidance, para 238; Chapter 10, 10.8). The council must judge the increase in cash terms as well as percentage terms, and consider whether a lesser increase would be reasonable (</w:t>
      </w:r>
      <w:r>
        <w:rPr>
          <w:i/>
          <w:iCs/>
        </w:rPr>
        <w:t xml:space="preserve">BM</w:t>
      </w:r>
      <w:r>
        <w:t xml:space="preserve">; Chapter 10, 10.8).</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2244"/>
        <w:gridCol w:w="1309"/>
        <w:gridCol w:w="1309"/>
        <w:gridCol w:w="1309"/>
        <w:gridCol w:w="3180"/>
      </w:tblGrid>
      <w:tr>
        <w:trPr>
          <w:tblHeader w:val="on"/>
          <w:cantSplit/>
          <w:tblHeader w:val="true"/>
        </w:trPr>
        <w:tc>
          <w:tcPr>
            <w:tcW w:type="dxa" w:w="2244"/>
            <w:shd w:val="clear" w:color="auto" w:fill="002F6D"/>
          </w:tcPr>
          <w:p>
            <w:pPr>
              <w:pStyle w:val="Compact"/>
            </w:pPr>
            <w:r>
              <w:rPr>
                <w:b/>
                <w:color w:val="FFFFFF"/>
              </w:rPr>
              <w:t xml:space="preserve">Item</w:t>
            </w:r>
          </w:p>
        </w:tc>
        <w:tc>
          <w:tcPr>
            <w:tcW w:type="dxa" w:w="1309"/>
            <w:shd w:val="clear" w:color="auto" w:fill="002F6D"/>
          </w:tcPr>
          <w:p>
            <w:pPr>
              <w:pStyle w:val="Compact"/>
            </w:pPr>
            <w:r>
              <w:rPr>
                <w:b/>
                <w:color w:val="FFFFFF"/>
              </w:rPr>
              <w:t xml:space="preserve">Last year (£ per unit per week)</w:t>
            </w:r>
          </w:p>
        </w:tc>
        <w:tc>
          <w:tcPr>
            <w:tcW w:type="dxa" w:w="1309"/>
            <w:shd w:val="clear" w:color="auto" w:fill="002F6D"/>
          </w:tcPr>
          <w:p>
            <w:pPr>
              <w:pStyle w:val="Compact"/>
            </w:pPr>
            <w:r>
              <w:rPr>
                <w:b/>
                <w:color w:val="FFFFFF"/>
              </w:rPr>
              <w:t xml:space="preserve">This year (£ per unit per week)</w:t>
            </w:r>
          </w:p>
        </w:tc>
        <w:tc>
          <w:tcPr>
            <w:tcW w:type="dxa" w:w="1309"/>
            <w:shd w:val="clear" w:color="auto" w:fill="002F6D"/>
          </w:tcPr>
          <w:p>
            <w:pPr>
              <w:pStyle w:val="Compact"/>
            </w:pPr>
            <w:r>
              <w:rPr>
                <w:b/>
                <w:color w:val="FFFFFF"/>
              </w:rPr>
              <w:t xml:space="preserve">Change</w:t>
            </w:r>
          </w:p>
        </w:tc>
        <w:tc>
          <w:tcPr>
            <w:tcW w:type="dxa" w:w="3180"/>
            <w:shd w:val="clear" w:color="auto" w:fill="002F6D"/>
          </w:tcPr>
          <w:p>
            <w:pPr>
              <w:pStyle w:val="Compact"/>
            </w:pPr>
            <w:r>
              <w:rPr>
                <w:b/>
                <w:color w:val="FFFFFF"/>
              </w:rPr>
              <w:t xml:space="preserve">Reason and evidence</w:t>
            </w:r>
          </w:p>
        </w:tc>
      </w:tr>
      <w:tr>
        <w:trPr>
          <w:cantSplit/>
        </w:trPr>
        <w:tc>
          <w:tcPr>
            <w:tcW w:type="dxa" w:w="2244"/>
          </w:tcPr>
          <w:p>
            <w:pPr>
              <w:pStyle w:val="Compact"/>
            </w:pPr>
          </w:p>
        </w:tc>
        <w:tc>
          <w:tcPr>
            <w:tcW w:type="dxa" w:w="1309"/>
          </w:tcPr>
          <w:p>
            <w:pPr>
              <w:pStyle w:val="Compact"/>
            </w:pPr>
          </w:p>
        </w:tc>
        <w:tc>
          <w:tcPr>
            <w:tcW w:type="dxa" w:w="1309"/>
          </w:tcPr>
          <w:p>
            <w:pPr>
              <w:pStyle w:val="Compact"/>
            </w:pPr>
          </w:p>
        </w:tc>
        <w:tc>
          <w:tcPr>
            <w:tcW w:type="dxa" w:w="1309"/>
          </w:tcPr>
          <w:p>
            <w:pPr>
              <w:pStyle w:val="Compact"/>
            </w:pPr>
          </w:p>
        </w:tc>
        <w:tc>
          <w:tcPr>
            <w:tcW w:type="dxa" w:w="3180"/>
          </w:tcPr>
          <w:p>
            <w:pPr>
              <w:pStyle w:val="Compact"/>
            </w:pPr>
          </w:p>
        </w:tc>
      </w:tr>
      <w:tr>
        <w:trPr>
          <w:cantSplit/>
        </w:trPr>
        <w:tc>
          <w:tcPr>
            <w:tcW w:type="dxa" w:w="2244"/>
            <w:shd w:val="clear" w:color="auto" w:fill="E6ECF4"/>
          </w:tcPr>
          <w:p>
            <w:pPr>
              <w:pStyle w:val="Compact"/>
            </w:pPr>
          </w:p>
        </w:tc>
        <w:tc>
          <w:tcPr>
            <w:tcW w:type="dxa" w:w="1309"/>
            <w:shd w:val="clear" w:color="auto" w:fill="E6ECF4"/>
          </w:tcPr>
          <w:p>
            <w:pPr>
              <w:pStyle w:val="Compact"/>
            </w:pPr>
          </w:p>
        </w:tc>
        <w:tc>
          <w:tcPr>
            <w:tcW w:type="dxa" w:w="1309"/>
            <w:shd w:val="clear" w:color="auto" w:fill="E6ECF4"/>
          </w:tcPr>
          <w:p>
            <w:pPr>
              <w:pStyle w:val="Compact"/>
            </w:pPr>
          </w:p>
        </w:tc>
        <w:tc>
          <w:tcPr>
            <w:tcW w:type="dxa" w:w="1309"/>
            <w:shd w:val="clear" w:color="auto" w:fill="E6ECF4"/>
          </w:tcPr>
          <w:p>
            <w:pPr>
              <w:pStyle w:val="Compact"/>
            </w:pPr>
          </w:p>
        </w:tc>
        <w:tc>
          <w:tcPr>
            <w:tcW w:type="dxa" w:w="3180"/>
            <w:shd w:val="clear" w:color="auto" w:fill="E6ECF4"/>
          </w:tcPr>
          <w:p>
            <w:pPr>
              <w:pStyle w:val="Compact"/>
            </w:pPr>
          </w:p>
        </w:tc>
      </w:tr>
      <w:tr>
        <w:trPr>
          <w:cantSplit/>
        </w:trPr>
        <w:tc>
          <w:tcPr>
            <w:tcW w:type="dxa" w:w="2244"/>
          </w:tcPr>
          <w:p>
            <w:pPr>
              <w:pStyle w:val="Compact"/>
            </w:pPr>
          </w:p>
        </w:tc>
        <w:tc>
          <w:tcPr>
            <w:tcW w:type="dxa" w:w="1309"/>
          </w:tcPr>
          <w:p>
            <w:pPr>
              <w:pStyle w:val="Compact"/>
            </w:pPr>
          </w:p>
        </w:tc>
        <w:tc>
          <w:tcPr>
            <w:tcW w:type="dxa" w:w="1309"/>
          </w:tcPr>
          <w:p>
            <w:pPr>
              <w:pStyle w:val="Compact"/>
            </w:pPr>
          </w:p>
        </w:tc>
        <w:tc>
          <w:tcPr>
            <w:tcW w:type="dxa" w:w="1309"/>
          </w:tcPr>
          <w:p>
            <w:pPr>
              <w:pStyle w:val="Compact"/>
            </w:pPr>
          </w:p>
        </w:tc>
        <w:tc>
          <w:tcPr>
            <w:tcW w:type="dxa" w:w="3180"/>
          </w:tcPr>
          <w:p>
            <w:pPr>
              <w:pStyle w:val="Compact"/>
            </w:pPr>
          </w:p>
        </w:tc>
      </w:tr>
      <w:tr>
        <w:trPr>
          <w:cantSplit/>
        </w:trPr>
        <w:tc>
          <w:tcPr>
            <w:tcW w:type="dxa" w:w="2244"/>
            <w:shd w:val="clear" w:color="auto" w:fill="E6ECF4"/>
          </w:tcPr>
          <w:p>
            <w:pPr>
              <w:pStyle w:val="Compact"/>
            </w:pPr>
            <w:r>
              <w:rPr>
                <w:b/>
                <w:bCs/>
              </w:rPr>
              <w:t xml:space="preserve">Eligible rent</w:t>
            </w:r>
          </w:p>
        </w:tc>
        <w:tc>
          <w:tcPr>
            <w:tcW w:type="dxa" w:w="1309"/>
            <w:shd w:val="clear" w:color="auto" w:fill="E6ECF4"/>
          </w:tcPr>
          <w:p>
            <w:pPr>
              <w:pStyle w:val="Compact"/>
            </w:pPr>
          </w:p>
        </w:tc>
        <w:tc>
          <w:tcPr>
            <w:tcW w:type="dxa" w:w="1309"/>
            <w:shd w:val="clear" w:color="auto" w:fill="E6ECF4"/>
          </w:tcPr>
          <w:p>
            <w:pPr>
              <w:pStyle w:val="Compact"/>
            </w:pPr>
          </w:p>
        </w:tc>
        <w:tc>
          <w:tcPr>
            <w:tcW w:type="dxa" w:w="1309"/>
            <w:shd w:val="clear" w:color="auto" w:fill="E6ECF4"/>
          </w:tcPr>
          <w:p>
            <w:pPr>
              <w:pStyle w:val="Compact"/>
            </w:pPr>
          </w:p>
        </w:tc>
        <w:tc>
          <w:tcPr>
            <w:tcW w:type="dxa" w:w="3180"/>
            <w:shd w:val="clear" w:color="auto" w:fill="E6ECF4"/>
          </w:tcPr>
          <w:p>
            <w:pPr>
              <w:pStyle w:val="Compact"/>
            </w:pPr>
          </w:p>
        </w:tc>
      </w:tr>
    </w:tbl>
    <w:bookmarkEnd w:id="18"/>
    <w:bookmarkStart w:id="27" w:name="part-e-worked-example"/>
    <w:p>
      <w:pPr>
        <w:pStyle w:val="Heading2"/>
        <w:pageBreakBefore/>
        <w:pBdr>
          <w:bottom w:val="single" w:sz="12" w:space="4" w:color="FF9202"/>
        </w:pBdr>
      </w:pPr>
      <w:r>
        <w:t xml:space="preserve">Part E: Worked example</w:t>
      </w:r>
    </w:p>
    <w:p>
      <w:pPr>
        <w:pStyle w:val="FirstParagraph"/>
      </w:pPr>
      <w:r>
        <w:t xml:space="preserve">This example is fictional. It is for the five-bedroom shared house for single homeless adults used in Appendices 6 and 7, with weekday visiting staff and 24-hour on-call cover. The figures are set at typical levels, using the published benchmarks below, but they are not a benchmark themselves. Actual costs vary widely by area, property and client group.</w:t>
      </w:r>
    </w:p>
    <w:bookmarkStart w:id="21" w:name="e1-where-the-figures-come-from"/>
    <w:p>
      <w:pPr>
        <w:pStyle w:val="Heading3"/>
      </w:pPr>
      <w:r>
        <w:t xml:space="preserve">E1. Where the figures come from</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3554"/>
        <w:gridCol w:w="2806"/>
        <w:gridCol w:w="2993"/>
      </w:tblGrid>
      <w:tr>
        <w:trPr>
          <w:tblHeader w:val="on"/>
          <w:cantSplit/>
          <w:tblHeader w:val="true"/>
        </w:trPr>
        <w:tc>
          <w:tcPr>
            <w:tcW w:type="dxa" w:w="3554"/>
            <w:shd w:val="clear" w:color="auto" w:fill="002F6D"/>
          </w:tcPr>
          <w:p>
            <w:pPr>
              <w:pStyle w:val="Compact"/>
            </w:pPr>
            <w:r>
              <w:rPr>
                <w:b/>
                <w:color w:val="FFFFFF"/>
              </w:rPr>
              <w:t xml:space="preserve">Benchmark</w:t>
            </w:r>
          </w:p>
        </w:tc>
        <w:tc>
          <w:tcPr>
            <w:tcW w:type="dxa" w:w="2806"/>
            <w:shd w:val="clear" w:color="auto" w:fill="002F6D"/>
          </w:tcPr>
          <w:p>
            <w:pPr>
              <w:pStyle w:val="Compact"/>
            </w:pPr>
            <w:r>
              <w:rPr>
                <w:b/>
                <w:color w:val="FFFFFF"/>
              </w:rPr>
              <w:t xml:space="preserve">Typical figure</w:t>
            </w:r>
          </w:p>
        </w:tc>
        <w:tc>
          <w:tcPr>
            <w:tcW w:type="dxa" w:w="2993"/>
            <w:shd w:val="clear" w:color="auto" w:fill="002F6D"/>
          </w:tcPr>
          <w:p>
            <w:pPr>
              <w:pStyle w:val="Compact"/>
            </w:pPr>
            <w:r>
              <w:rPr>
                <w:b/>
                <w:color w:val="FFFFFF"/>
              </w:rPr>
              <w:t xml:space="preserve">Source</w:t>
            </w:r>
          </w:p>
        </w:tc>
      </w:tr>
      <w:tr>
        <w:trPr>
          <w:cantSplit/>
        </w:trPr>
        <w:tc>
          <w:tcPr>
            <w:tcW w:type="dxa" w:w="3554"/>
          </w:tcPr>
          <w:p>
            <w:pPr>
              <w:pStyle w:val="Compact"/>
            </w:pPr>
            <w:r>
              <w:t xml:space="preserve">Rent, excluding service charges, single homeless people</w:t>
            </w:r>
          </w:p>
        </w:tc>
        <w:tc>
          <w:tcPr>
            <w:tcW w:type="dxa" w:w="2806"/>
          </w:tcPr>
          <w:p>
            <w:pPr>
              <w:pStyle w:val="Compact"/>
            </w:pPr>
            <w:r>
              <w:t xml:space="preserve">£178 a week (2022 to 2023)</w:t>
            </w:r>
          </w:p>
        </w:tc>
        <w:tc>
          <w:tcPr>
            <w:tcW w:type="dxa" w:w="2993"/>
          </w:tcPr>
          <w:p>
            <w:pPr>
              <w:pStyle w:val="Compact"/>
            </w:pPr>
            <w:hyperlink r:id="rId19">
              <w:r>
                <w:rPr>
                  <w:rStyle w:val="Hyperlink"/>
                </w:rPr>
                <w:t xml:space="preserve">Supported Housing Review 2023</w:t>
              </w:r>
            </w:hyperlink>
            <w:r>
              <w:t xml:space="preserve">, Table 7.3</w:t>
            </w:r>
          </w:p>
        </w:tc>
      </w:tr>
      <w:tr>
        <w:trPr>
          <w:cantSplit/>
        </w:trPr>
        <w:tc>
          <w:tcPr>
            <w:tcW w:type="dxa" w:w="3554"/>
            <w:shd w:val="clear" w:color="auto" w:fill="E6ECF4"/>
          </w:tcPr>
          <w:p>
            <w:pPr>
              <w:pStyle w:val="Compact"/>
            </w:pPr>
            <w:r>
              <w:t xml:space="preserve">Service charges, eligible and ineligible, single homeless people</w:t>
            </w:r>
          </w:p>
        </w:tc>
        <w:tc>
          <w:tcPr>
            <w:tcW w:type="dxa" w:w="2806"/>
            <w:shd w:val="clear" w:color="auto" w:fill="E6ECF4"/>
          </w:tcPr>
          <w:p>
            <w:pPr>
              <w:pStyle w:val="Compact"/>
            </w:pPr>
            <w:r>
              <w:t xml:space="preserve">£109 a week (2022 to 2023)</w:t>
            </w:r>
          </w:p>
        </w:tc>
        <w:tc>
          <w:tcPr>
            <w:tcW w:type="dxa" w:w="2993"/>
            <w:shd w:val="clear" w:color="auto" w:fill="E6ECF4"/>
          </w:tcPr>
          <w:p>
            <w:pPr>
              <w:pStyle w:val="Compact"/>
            </w:pPr>
            <w:r>
              <w:t xml:space="preserve">Supported Housing Review 2023, Table 7.4</w:t>
            </w:r>
          </w:p>
        </w:tc>
      </w:tr>
      <w:tr>
        <w:trPr>
          <w:cantSplit/>
        </w:trPr>
        <w:tc>
          <w:tcPr>
            <w:tcW w:type="dxa" w:w="3554"/>
          </w:tcPr>
          <w:p>
            <w:pPr>
              <w:pStyle w:val="Compact"/>
            </w:pPr>
            <w:r>
              <w:t xml:space="preserve">Share of rent and service charges eligible for Housing Benefit, single homeless people</w:t>
            </w:r>
          </w:p>
        </w:tc>
        <w:tc>
          <w:tcPr>
            <w:tcW w:type="dxa" w:w="2806"/>
          </w:tcPr>
          <w:p>
            <w:pPr>
              <w:pStyle w:val="Compact"/>
            </w:pPr>
            <w:r>
              <w:t xml:space="preserve">83%</w:t>
            </w:r>
          </w:p>
        </w:tc>
        <w:tc>
          <w:tcPr>
            <w:tcW w:type="dxa" w:w="2993"/>
          </w:tcPr>
          <w:p>
            <w:pPr>
              <w:pStyle w:val="Compact"/>
            </w:pPr>
            <w:r>
              <w:t xml:space="preserve">Supported Housing Review 2023, Table 7.5</w:t>
            </w:r>
          </w:p>
        </w:tc>
      </w:tr>
      <w:tr>
        <w:trPr>
          <w:cantSplit/>
        </w:trPr>
        <w:tc>
          <w:tcPr>
            <w:tcW w:type="dxa" w:w="3554"/>
            <w:shd w:val="clear" w:color="auto" w:fill="E6ECF4"/>
          </w:tcPr>
          <w:p>
            <w:pPr>
              <w:pStyle w:val="Compact"/>
            </w:pPr>
            <w:r>
              <w:t xml:space="preserve">Average eligible rent, working age, specified accommodation, England</w:t>
            </w:r>
          </w:p>
        </w:tc>
        <w:tc>
          <w:tcPr>
            <w:tcW w:type="dxa" w:w="2806"/>
            <w:shd w:val="clear" w:color="auto" w:fill="E6ECF4"/>
          </w:tcPr>
          <w:p>
            <w:pPr>
              <w:pStyle w:val="Compact"/>
            </w:pPr>
            <w:r>
              <w:t xml:space="preserve">£267 a week (November 2023)</w:t>
            </w:r>
          </w:p>
        </w:tc>
        <w:tc>
          <w:tcPr>
            <w:tcW w:type="dxa" w:w="2993"/>
            <w:shd w:val="clear" w:color="auto" w:fill="E6ECF4"/>
          </w:tcPr>
          <w:p>
            <w:pPr>
              <w:pStyle w:val="Compact"/>
            </w:pPr>
            <w:r>
              <w:t xml:space="preserve">Supported Housing Review 2023, Table 7.6, from DWP data</w:t>
            </w:r>
          </w:p>
        </w:tc>
      </w:tr>
      <w:tr>
        <w:trPr>
          <w:cantSplit/>
        </w:trPr>
        <w:tc>
          <w:tcPr>
            <w:tcW w:type="dxa" w:w="3554"/>
          </w:tcPr>
          <w:p>
            <w:pPr>
              <w:pStyle w:val="Compact"/>
            </w:pPr>
            <w:r>
              <w:t xml:space="preserve">Property cost per tenant in a shared house</w:t>
            </w:r>
          </w:p>
        </w:tc>
        <w:tc>
          <w:tcPr>
            <w:tcW w:type="dxa" w:w="2806"/>
          </w:tcPr>
          <w:p>
            <w:pPr>
              <w:pStyle w:val="Compact"/>
            </w:pPr>
            <w:r>
              <w:t xml:space="preserve">£100 a week (£1,300 a month for a three-bedroom house, 2022)</w:t>
            </w:r>
          </w:p>
        </w:tc>
        <w:tc>
          <w:tcPr>
            <w:tcW w:type="dxa" w:w="2993"/>
          </w:tcPr>
          <w:p>
            <w:pPr>
              <w:pStyle w:val="Compact"/>
            </w:pPr>
            <w:hyperlink r:id="rId20">
              <w:r>
                <w:rPr>
                  <w:rStyle w:val="Hyperlink"/>
                </w:rPr>
                <w:t xml:space="preserve">Bristol City Council, EXA 115</w:t>
              </w:r>
            </w:hyperlink>
          </w:p>
        </w:tc>
      </w:tr>
      <w:tr>
        <w:trPr>
          <w:cantSplit/>
        </w:trPr>
        <w:tc>
          <w:tcPr>
            <w:tcW w:type="dxa" w:w="3554"/>
            <w:shd w:val="clear" w:color="auto" w:fill="E6ECF4"/>
          </w:tcPr>
          <w:p>
            <w:pPr>
              <w:pStyle w:val="Compact"/>
            </w:pPr>
            <w:r>
              <w:t xml:space="preserve">Line-by-line enhanced exempt rent</w:t>
            </w:r>
          </w:p>
        </w:tc>
        <w:tc>
          <w:tcPr>
            <w:tcW w:type="dxa" w:w="2806"/>
            <w:shd w:val="clear" w:color="auto" w:fill="E6ECF4"/>
          </w:tcPr>
          <w:p>
            <w:pPr>
              <w:pStyle w:val="Compact"/>
            </w:pPr>
            <w:r>
              <w:t xml:space="preserve">£218.49 a week, including voids £15.05, staffing £56.10, communal cleaning £14.88 and communal lighting and heating £5.92 (2022)</w:t>
            </w:r>
          </w:p>
        </w:tc>
        <w:tc>
          <w:tcPr>
            <w:tcW w:type="dxa" w:w="2993"/>
            <w:shd w:val="clear" w:color="auto" w:fill="E6ECF4"/>
          </w:tcPr>
          <w:p>
            <w:pPr>
              <w:pStyle w:val="Compact"/>
            </w:pPr>
            <w:r>
              <w:t xml:space="preserve">Bristol City Council, EXA 115</w:t>
            </w:r>
          </w:p>
        </w:tc>
      </w:tr>
    </w:tbl>
    <w:p>
      <w:pPr>
        <w:pStyle w:val="BodyText"/>
      </w:pPr>
      <w:r>
        <w:t xml:space="preserve">The example uprates the Bristol property cost to £115 a week to allow for inflation and a larger house. Its totals sit close to the review's figures: core rent £171.39, all service charges £129.16, eligible rent £257.54, and 86% of the total charge eligible.</w:t>
      </w:r>
    </w:p>
    <w:bookmarkEnd w:id="21"/>
    <w:bookmarkStart w:id="22" w:name="e2-scheme-details"/>
    <w:p>
      <w:pPr>
        <w:pStyle w:val="Heading3"/>
      </w:pPr>
      <w:r>
        <w:t xml:space="preserve">E2. Scheme details</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3928"/>
        <w:gridCol w:w="5425"/>
      </w:tblGrid>
      <w:tr>
        <w:trPr>
          <w:tblHeader w:val="on"/>
          <w:cantSplit/>
          <w:tblHeader w:val="true"/>
        </w:trPr>
        <w:tc>
          <w:tcPr>
            <w:tcW w:type="dxa" w:w="3928"/>
            <w:shd w:val="clear" w:color="auto" w:fill="002F6D"/>
          </w:tcPr>
          <w:p>
            <w:pPr>
              <w:pStyle w:val="Compact"/>
            </w:pPr>
            <w:r>
              <w:rPr>
                <w:b/>
                <w:color w:val="FFFFFF"/>
              </w:rPr>
              <w:t xml:space="preserve">Field</w:t>
            </w:r>
          </w:p>
        </w:tc>
        <w:tc>
          <w:tcPr>
            <w:tcW w:type="dxa" w:w="5425"/>
            <w:shd w:val="clear" w:color="auto" w:fill="002F6D"/>
          </w:tcPr>
          <w:p>
            <w:pPr>
              <w:pStyle w:val="Compact"/>
            </w:pPr>
            <w:r>
              <w:rPr>
                <w:b/>
                <w:color w:val="FFFFFF"/>
              </w:rPr>
              <w:t xml:space="preserve">Entry</w:t>
            </w:r>
          </w:p>
        </w:tc>
      </w:tr>
      <w:tr>
        <w:trPr>
          <w:cantSplit/>
        </w:trPr>
        <w:tc>
          <w:tcPr>
            <w:tcW w:type="dxa" w:w="3928"/>
          </w:tcPr>
          <w:p>
            <w:pPr>
              <w:pStyle w:val="Compact"/>
            </w:pPr>
            <w:r>
              <w:t xml:space="preserve">Scheme</w:t>
            </w:r>
          </w:p>
        </w:tc>
        <w:tc>
          <w:tcPr>
            <w:tcW w:type="dxa" w:w="5425"/>
          </w:tcPr>
          <w:p>
            <w:pPr>
              <w:pStyle w:val="Compact"/>
            </w:pPr>
            <w:r>
              <w:t xml:space="preserve">Five-bedroom shared house for single homeless adults, let by a not-for-profit provider</w:t>
            </w:r>
          </w:p>
        </w:tc>
      </w:tr>
      <w:tr>
        <w:trPr>
          <w:cantSplit/>
        </w:trPr>
        <w:tc>
          <w:tcPr>
            <w:tcW w:type="dxa" w:w="3928"/>
            <w:shd w:val="clear" w:color="auto" w:fill="E6ECF4"/>
          </w:tcPr>
          <w:p>
            <w:pPr>
              <w:pStyle w:val="Compact"/>
            </w:pPr>
            <w:r>
              <w:t xml:space="preserve">Period and basis</w:t>
            </w:r>
          </w:p>
        </w:tc>
        <w:tc>
          <w:tcPr>
            <w:tcW w:type="dxa" w:w="5425"/>
            <w:shd w:val="clear" w:color="auto" w:fill="E6ECF4"/>
          </w:tcPr>
          <w:p>
            <w:pPr>
              <w:pStyle w:val="Compact"/>
            </w:pPr>
            <w:r>
              <w:t xml:space="preserve">Financial year, actual costs for the last full year</w:t>
            </w:r>
          </w:p>
        </w:tc>
      </w:tr>
      <w:tr>
        <w:trPr>
          <w:cantSplit/>
        </w:trPr>
        <w:tc>
          <w:tcPr>
            <w:tcW w:type="dxa" w:w="3928"/>
          </w:tcPr>
          <w:p>
            <w:pPr>
              <w:pStyle w:val="Compact"/>
            </w:pPr>
            <w:r>
              <w:t xml:space="preserve">Occupancy assumption</w:t>
            </w:r>
          </w:p>
        </w:tc>
        <w:tc>
          <w:tcPr>
            <w:tcW w:type="dxa" w:w="5425"/>
          </w:tcPr>
          <w:p>
            <w:pPr>
              <w:pStyle w:val="Compact"/>
            </w:pPr>
            <w:r>
              <w:t xml:space="preserve">Five units, 52 weeks. Voids and bad debts shown as a separate allowance</w:t>
            </w:r>
          </w:p>
        </w:tc>
      </w:tr>
      <w:tr>
        <w:trPr>
          <w:cantSplit/>
        </w:trPr>
        <w:tc>
          <w:tcPr>
            <w:tcW w:type="dxa" w:w="3928"/>
            <w:shd w:val="clear" w:color="auto" w:fill="E6ECF4"/>
          </w:tcPr>
          <w:p>
            <w:pPr>
              <w:pStyle w:val="Compact"/>
            </w:pPr>
            <w:r>
              <w:t xml:space="preserve">Lease</w:t>
            </w:r>
          </w:p>
        </w:tc>
        <w:tc>
          <w:tcPr>
            <w:tcW w:type="dxa" w:w="5425"/>
            <w:shd w:val="clear" w:color="auto" w:fill="E6ECF4"/>
          </w:tcPr>
          <w:p>
            <w:pPr>
              <w:pStyle w:val="Compact"/>
            </w:pPr>
            <w:r>
              <w:t xml:space="preserve">Ten-year full repairing and insuring lease from a private owner at £2,492 a month, with an annual CPI-linked uplift</w:t>
            </w:r>
          </w:p>
        </w:tc>
      </w:tr>
      <w:tr>
        <w:trPr>
          <w:cantSplit/>
        </w:trPr>
        <w:tc>
          <w:tcPr>
            <w:tcW w:type="dxa" w:w="3928"/>
          </w:tcPr>
          <w:p>
            <w:pPr>
              <w:pStyle w:val="Compact"/>
            </w:pPr>
            <w:r>
              <w:t xml:space="preserve">Utilities</w:t>
            </w:r>
          </w:p>
        </w:tc>
        <w:tc>
          <w:tcPr>
            <w:tcW w:type="dxa" w:w="5425"/>
          </w:tcPr>
          <w:p>
            <w:pPr>
              <w:pStyle w:val="Compact"/>
            </w:pPr>
            <w:r>
              <w:t xml:space="preserve">All utilities included in the charge. Split between communal areas and tenants' own rooms by floor area</w:t>
            </w:r>
          </w:p>
        </w:tc>
      </w:tr>
    </w:tbl>
    <w:bookmarkEnd w:id="22"/>
    <w:bookmarkStart w:id="23" w:name="e3-apportionment-worksheet"/>
    <w:p>
      <w:pPr>
        <w:pStyle w:val="Heading3"/>
      </w:pPr>
      <w:r>
        <w:t xml:space="preserve">E3. Apportionment worksheet</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2057"/>
        <w:gridCol w:w="2057"/>
        <w:gridCol w:w="3367"/>
        <w:gridCol w:w="1870"/>
      </w:tblGrid>
      <w:tr>
        <w:trPr>
          <w:tblHeader w:val="on"/>
          <w:cantSplit/>
          <w:tblHeader w:val="true"/>
        </w:trPr>
        <w:tc>
          <w:tcPr>
            <w:tcW w:type="dxa" w:w="2057"/>
            <w:shd w:val="clear" w:color="auto" w:fill="002F6D"/>
          </w:tcPr>
          <w:p>
            <w:pPr>
              <w:pStyle w:val="Compact"/>
            </w:pPr>
            <w:r>
              <w:rPr>
                <w:b/>
                <w:color w:val="FFFFFF"/>
              </w:rPr>
              <w:t xml:space="preserve">Role</w:t>
            </w:r>
          </w:p>
        </w:tc>
        <w:tc>
          <w:tcPr>
            <w:tcW w:type="dxa" w:w="2057"/>
            <w:shd w:val="clear" w:color="auto" w:fill="002F6D"/>
          </w:tcPr>
          <w:p>
            <w:pPr>
              <w:pStyle w:val="Compact"/>
            </w:pPr>
            <w:r>
              <w:rPr>
                <w:b/>
                <w:color w:val="FFFFFF"/>
              </w:rPr>
              <w:t xml:space="preserve">Annual cost including on-costs (£)</w:t>
            </w:r>
          </w:p>
        </w:tc>
        <w:tc>
          <w:tcPr>
            <w:tcW w:type="dxa" w:w="3367"/>
            <w:shd w:val="clear" w:color="auto" w:fill="002F6D"/>
          </w:tcPr>
          <w:p>
            <w:pPr>
              <w:pStyle w:val="Compact"/>
            </w:pPr>
            <w:r>
              <w:rPr>
                <w:b/>
                <w:color w:val="FFFFFF"/>
              </w:rPr>
              <w:t xml:space="preserve">Share charged to this scheme, and basis</w:t>
            </w:r>
          </w:p>
        </w:tc>
        <w:tc>
          <w:tcPr>
            <w:tcW w:type="dxa" w:w="1870"/>
            <w:shd w:val="clear" w:color="auto" w:fill="002F6D"/>
          </w:tcPr>
          <w:p>
            <w:pPr>
              <w:pStyle w:val="Compact"/>
            </w:pPr>
            <w:r>
              <w:rPr>
                <w:b/>
                <w:color w:val="FFFFFF"/>
              </w:rPr>
              <w:t xml:space="preserve">£ to this scheme</w:t>
            </w:r>
          </w:p>
        </w:tc>
      </w:tr>
      <w:tr>
        <w:trPr>
          <w:cantSplit/>
        </w:trPr>
        <w:tc>
          <w:tcPr>
            <w:tcW w:type="dxa" w:w="2057"/>
          </w:tcPr>
          <w:p>
            <w:pPr>
              <w:pStyle w:val="Compact"/>
            </w:pPr>
            <w:r>
              <w:t xml:space="preserve">Support worker</w:t>
            </w:r>
          </w:p>
        </w:tc>
        <w:tc>
          <w:tcPr>
            <w:tcW w:type="dxa" w:w="2057"/>
          </w:tcPr>
          <w:p>
            <w:pPr>
              <w:pStyle w:val="Compact"/>
            </w:pPr>
            <w:r>
              <w:t xml:space="preserve">32,000</w:t>
            </w:r>
          </w:p>
        </w:tc>
        <w:tc>
          <w:tcPr>
            <w:tcW w:type="dxa" w:w="3367"/>
          </w:tcPr>
          <w:p>
            <w:pPr>
              <w:pStyle w:val="Compact"/>
            </w:pPr>
            <w:r>
              <w:t xml:space="preserve">One third: covers three houses, 15 tenants</w:t>
            </w:r>
          </w:p>
        </w:tc>
        <w:tc>
          <w:tcPr>
            <w:tcW w:type="dxa" w:w="1870"/>
          </w:tcPr>
          <w:p>
            <w:pPr>
              <w:pStyle w:val="Compact"/>
            </w:pPr>
            <w:r>
              <w:t xml:space="preserve">10,667</w:t>
            </w:r>
          </w:p>
        </w:tc>
      </w:tr>
      <w:tr>
        <w:trPr>
          <w:cantSplit/>
        </w:trPr>
        <w:tc>
          <w:tcPr>
            <w:tcW w:type="dxa" w:w="2057"/>
            <w:shd w:val="clear" w:color="auto" w:fill="E6ECF4"/>
          </w:tcPr>
          <w:p>
            <w:pPr>
              <w:pStyle w:val="Compact"/>
            </w:pPr>
            <w:r>
              <w:t xml:space="preserve">Housing officer</w:t>
            </w:r>
          </w:p>
        </w:tc>
        <w:tc>
          <w:tcPr>
            <w:tcW w:type="dxa" w:w="2057"/>
            <w:shd w:val="clear" w:color="auto" w:fill="E6ECF4"/>
          </w:tcPr>
          <w:p>
            <w:pPr>
              <w:pStyle w:val="Compact"/>
            </w:pPr>
            <w:r>
              <w:t xml:space="preserve">31,000</w:t>
            </w:r>
          </w:p>
        </w:tc>
        <w:tc>
          <w:tcPr>
            <w:tcW w:type="dxa" w:w="3367"/>
            <w:shd w:val="clear" w:color="auto" w:fill="E6ECF4"/>
          </w:tcPr>
          <w:p>
            <w:pPr>
              <w:pStyle w:val="Compact"/>
            </w:pPr>
            <w:r>
              <w:t xml:space="preserve">One sixth: covers six houses, 30 tenants</w:t>
            </w:r>
          </w:p>
        </w:tc>
        <w:tc>
          <w:tcPr>
            <w:tcW w:type="dxa" w:w="1870"/>
            <w:shd w:val="clear" w:color="auto" w:fill="E6ECF4"/>
          </w:tcPr>
          <w:p>
            <w:pPr>
              <w:pStyle w:val="Compact"/>
            </w:pPr>
            <w:r>
              <w:t xml:space="preserve">5,167</w:t>
            </w:r>
          </w:p>
        </w:tc>
      </w:tr>
      <w:tr>
        <w:trPr>
          <w:cantSplit/>
        </w:trPr>
        <w:tc>
          <w:tcPr>
            <w:tcW w:type="dxa" w:w="2057"/>
          </w:tcPr>
          <w:p>
            <w:pPr>
              <w:pStyle w:val="Compact"/>
            </w:pPr>
            <w:r>
              <w:t xml:space="preserve">On-call rota</w:t>
            </w:r>
          </w:p>
        </w:tc>
        <w:tc>
          <w:tcPr>
            <w:tcW w:type="dxa" w:w="2057"/>
          </w:tcPr>
          <w:p>
            <w:pPr>
              <w:pStyle w:val="Compact"/>
            </w:pPr>
            <w:r>
              <w:t xml:space="preserve">18,000</w:t>
            </w:r>
          </w:p>
        </w:tc>
        <w:tc>
          <w:tcPr>
            <w:tcW w:type="dxa" w:w="3367"/>
          </w:tcPr>
          <w:p>
            <w:pPr>
              <w:pStyle w:val="Compact"/>
            </w:pPr>
            <w:r>
              <w:t xml:space="preserve">One twelfth: covers 60 units</w:t>
            </w:r>
          </w:p>
        </w:tc>
        <w:tc>
          <w:tcPr>
            <w:tcW w:type="dxa" w:w="1870"/>
          </w:tcPr>
          <w:p>
            <w:pPr>
              <w:pStyle w:val="Compact"/>
            </w:pPr>
            <w:r>
              <w:t xml:space="preserve">1,500</w:t>
            </w:r>
          </w:p>
        </w:tc>
      </w:tr>
    </w:tbl>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1683"/>
        <w:gridCol w:w="4115"/>
        <w:gridCol w:w="935"/>
        <w:gridCol w:w="935"/>
        <w:gridCol w:w="1683"/>
      </w:tblGrid>
      <w:tr>
        <w:trPr>
          <w:tblHeader w:val="on"/>
          <w:cantSplit/>
          <w:tblHeader w:val="true"/>
        </w:trPr>
        <w:tc>
          <w:tcPr>
            <w:tcW w:type="dxa" w:w="1683"/>
            <w:shd w:val="clear" w:color="auto" w:fill="002F6D"/>
          </w:tcPr>
          <w:p>
            <w:pPr>
              <w:pStyle w:val="Compact"/>
            </w:pPr>
            <w:r>
              <w:rPr>
                <w:b/>
                <w:color w:val="FFFFFF"/>
              </w:rPr>
              <w:t xml:space="preserve">Role</w:t>
            </w:r>
          </w:p>
        </w:tc>
        <w:tc>
          <w:tcPr>
            <w:tcW w:type="dxa" w:w="4115"/>
            <w:shd w:val="clear" w:color="auto" w:fill="002F6D"/>
          </w:tcPr>
          <w:p>
            <w:pPr>
              <w:pStyle w:val="Compact"/>
            </w:pPr>
            <w:r>
              <w:rPr>
                <w:b/>
                <w:color w:val="FFFFFF"/>
              </w:rPr>
              <w:t xml:space="preserve">Activity</w:t>
            </w:r>
          </w:p>
        </w:tc>
        <w:tc>
          <w:tcPr>
            <w:tcW w:type="dxa" w:w="935"/>
            <w:shd w:val="clear" w:color="auto" w:fill="002F6D"/>
          </w:tcPr>
          <w:p>
            <w:pPr>
              <w:pStyle w:val="Compact"/>
            </w:pPr>
            <w:r>
              <w:rPr>
                <w:b/>
                <w:color w:val="FFFFFF"/>
              </w:rPr>
              <w:t xml:space="preserve">% of time</w:t>
            </w:r>
          </w:p>
        </w:tc>
        <w:tc>
          <w:tcPr>
            <w:tcW w:type="dxa" w:w="935"/>
            <w:shd w:val="clear" w:color="auto" w:fill="002F6D"/>
          </w:tcPr>
          <w:p>
            <w:pPr>
              <w:pStyle w:val="Compact"/>
            </w:pPr>
            <w:r>
              <w:rPr>
                <w:b/>
                <w:color w:val="FFFFFF"/>
              </w:rPr>
              <w:t xml:space="preserve">Type</w:t>
            </w:r>
          </w:p>
        </w:tc>
        <w:tc>
          <w:tcPr>
            <w:tcW w:type="dxa" w:w="1683"/>
            <w:shd w:val="clear" w:color="auto" w:fill="002F6D"/>
          </w:tcPr>
          <w:p>
            <w:pPr>
              <w:pStyle w:val="Compact"/>
            </w:pPr>
            <w:r>
              <w:rPr>
                <w:b/>
                <w:color w:val="FFFFFF"/>
              </w:rPr>
              <w:t xml:space="preserve">Treatment</w:t>
            </w:r>
          </w:p>
        </w:tc>
      </w:tr>
      <w:tr>
        <w:trPr>
          <w:cantSplit/>
        </w:trPr>
        <w:tc>
          <w:tcPr>
            <w:tcW w:type="dxa" w:w="1683"/>
          </w:tcPr>
          <w:p>
            <w:pPr>
              <w:pStyle w:val="Compact"/>
            </w:pPr>
            <w:r>
              <w:t xml:space="preserve">Support worker</w:t>
            </w:r>
          </w:p>
        </w:tc>
        <w:tc>
          <w:tcPr>
            <w:tcW w:type="dxa" w:w="4115"/>
          </w:tcPr>
          <w:p>
            <w:pPr>
              <w:pStyle w:val="Compact"/>
            </w:pPr>
            <w:r>
              <w:t xml:space="preserve">Tenancy sustainment, rent account checks, help with Housing Benefit, move-on planning</w:t>
            </w:r>
          </w:p>
        </w:tc>
        <w:tc>
          <w:tcPr>
            <w:tcW w:type="dxa" w:w="935"/>
          </w:tcPr>
          <w:p>
            <w:pPr>
              <w:pStyle w:val="Compact"/>
            </w:pPr>
            <w:r>
              <w:t xml:space="preserve">50</w:t>
            </w:r>
          </w:p>
        </w:tc>
        <w:tc>
          <w:tcPr>
            <w:tcW w:type="dxa" w:w="935"/>
          </w:tcPr>
          <w:p>
            <w:pPr>
              <w:pStyle w:val="Compact"/>
            </w:pPr>
            <w:r>
              <w:t xml:space="preserve">HRS</w:t>
            </w:r>
          </w:p>
        </w:tc>
        <w:tc>
          <w:tcPr>
            <w:tcW w:type="dxa" w:w="1683"/>
          </w:tcPr>
          <w:p>
            <w:pPr>
              <w:pStyle w:val="Compact"/>
            </w:pPr>
            <w:r>
              <w:t xml:space="preserve">Eligible</w:t>
            </w:r>
          </w:p>
        </w:tc>
      </w:tr>
      <w:tr>
        <w:trPr>
          <w:cantSplit/>
        </w:trPr>
        <w:tc>
          <w:tcPr>
            <w:tcW w:type="dxa" w:w="1683"/>
            <w:shd w:val="clear" w:color="auto" w:fill="E6ECF4"/>
          </w:tcPr>
          <w:p>
            <w:pPr>
              <w:pStyle w:val="Compact"/>
            </w:pPr>
            <w:r>
              <w:t xml:space="preserve">Support worker</w:t>
            </w:r>
          </w:p>
        </w:tc>
        <w:tc>
          <w:tcPr>
            <w:tcW w:type="dxa" w:w="4115"/>
            <w:shd w:val="clear" w:color="auto" w:fill="E6ECF4"/>
          </w:tcPr>
          <w:p>
            <w:pPr>
              <w:pStyle w:val="Compact"/>
            </w:pPr>
            <w:r>
              <w:t xml:space="preserve">House checks, visitor and dispute interventions, welfare checks</w:t>
            </w:r>
          </w:p>
        </w:tc>
        <w:tc>
          <w:tcPr>
            <w:tcW w:type="dxa" w:w="935"/>
            <w:shd w:val="clear" w:color="auto" w:fill="E6ECF4"/>
          </w:tcPr>
          <w:p>
            <w:pPr>
              <w:pStyle w:val="Compact"/>
            </w:pPr>
            <w:r>
              <w:t xml:space="preserve">30</w:t>
            </w:r>
          </w:p>
        </w:tc>
        <w:tc>
          <w:tcPr>
            <w:tcW w:type="dxa" w:w="935"/>
            <w:shd w:val="clear" w:color="auto" w:fill="E6ECF4"/>
          </w:tcPr>
          <w:p>
            <w:pPr>
              <w:pStyle w:val="Compact"/>
            </w:pPr>
            <w:r>
              <w:t xml:space="preserve">SUP</w:t>
            </w:r>
          </w:p>
        </w:tc>
        <w:tc>
          <w:tcPr>
            <w:tcW w:type="dxa" w:w="1683"/>
            <w:shd w:val="clear" w:color="auto" w:fill="E6ECF4"/>
          </w:tcPr>
          <w:p>
            <w:pPr>
              <w:pStyle w:val="Compact"/>
            </w:pPr>
            <w:r>
              <w:t xml:space="preserve">Eligible</w:t>
            </w:r>
          </w:p>
        </w:tc>
      </w:tr>
      <w:tr>
        <w:trPr>
          <w:cantSplit/>
        </w:trPr>
        <w:tc>
          <w:tcPr>
            <w:tcW w:type="dxa" w:w="1683"/>
          </w:tcPr>
          <w:p>
            <w:pPr>
              <w:pStyle w:val="Compact"/>
            </w:pPr>
            <w:r>
              <w:t xml:space="preserve">Support worker</w:t>
            </w:r>
          </w:p>
        </w:tc>
        <w:tc>
          <w:tcPr>
            <w:tcW w:type="dxa" w:w="4115"/>
          </w:tcPr>
          <w:p>
            <w:pPr>
              <w:pStyle w:val="Compact"/>
            </w:pPr>
            <w:r>
              <w:t xml:space="preserve">Emotional support and living skills</w:t>
            </w:r>
          </w:p>
        </w:tc>
        <w:tc>
          <w:tcPr>
            <w:tcW w:type="dxa" w:w="935"/>
          </w:tcPr>
          <w:p>
            <w:pPr>
              <w:pStyle w:val="Compact"/>
            </w:pPr>
            <w:r>
              <w:t xml:space="preserve">20</w:t>
            </w:r>
          </w:p>
        </w:tc>
        <w:tc>
          <w:tcPr>
            <w:tcW w:type="dxa" w:w="935"/>
          </w:tcPr>
          <w:p>
            <w:pPr>
              <w:pStyle w:val="Compact"/>
            </w:pPr>
            <w:r>
              <w:t xml:space="preserve">CPS</w:t>
            </w:r>
          </w:p>
        </w:tc>
        <w:tc>
          <w:tcPr>
            <w:tcW w:type="dxa" w:w="1683"/>
          </w:tcPr>
          <w:p>
            <w:pPr>
              <w:pStyle w:val="Compact"/>
            </w:pPr>
            <w:r>
              <w:t xml:space="preserve">Ineligible</w:t>
            </w:r>
          </w:p>
        </w:tc>
      </w:tr>
      <w:tr>
        <w:trPr>
          <w:cantSplit/>
        </w:trPr>
        <w:tc>
          <w:tcPr>
            <w:tcW w:type="dxa" w:w="1683"/>
            <w:shd w:val="clear" w:color="auto" w:fill="E6ECF4"/>
          </w:tcPr>
          <w:p>
            <w:pPr>
              <w:pStyle w:val="Compact"/>
            </w:pPr>
            <w:r>
              <w:t xml:space="preserve">Housing officer</w:t>
            </w:r>
          </w:p>
        </w:tc>
        <w:tc>
          <w:tcPr>
            <w:tcW w:type="dxa" w:w="4115"/>
            <w:shd w:val="clear" w:color="auto" w:fill="E6ECF4"/>
          </w:tcPr>
          <w:p>
            <w:pPr>
              <w:pStyle w:val="Compact"/>
            </w:pPr>
            <w:r>
              <w:t xml:space="preserve">Room and fire safety checks, hazard plans, repairs arranged around tenants' needs</w:t>
            </w:r>
          </w:p>
        </w:tc>
        <w:tc>
          <w:tcPr>
            <w:tcW w:type="dxa" w:w="935"/>
            <w:shd w:val="clear" w:color="auto" w:fill="E6ECF4"/>
          </w:tcPr>
          <w:p>
            <w:pPr>
              <w:pStyle w:val="Compact"/>
            </w:pPr>
            <w:r>
              <w:t xml:space="preserve">60</w:t>
            </w:r>
          </w:p>
        </w:tc>
        <w:tc>
          <w:tcPr>
            <w:tcW w:type="dxa" w:w="935"/>
            <w:shd w:val="clear" w:color="auto" w:fill="E6ECF4"/>
          </w:tcPr>
          <w:p>
            <w:pPr>
              <w:pStyle w:val="Compact"/>
            </w:pPr>
            <w:r>
              <w:t xml:space="preserve">IHM</w:t>
            </w:r>
          </w:p>
        </w:tc>
        <w:tc>
          <w:tcPr>
            <w:tcW w:type="dxa" w:w="1683"/>
            <w:shd w:val="clear" w:color="auto" w:fill="E6ECF4"/>
          </w:tcPr>
          <w:p>
            <w:pPr>
              <w:pStyle w:val="Compact"/>
            </w:pPr>
            <w:r>
              <w:t xml:space="preserve">Eligible</w:t>
            </w:r>
          </w:p>
        </w:tc>
      </w:tr>
      <w:tr>
        <w:trPr>
          <w:cantSplit/>
        </w:trPr>
        <w:tc>
          <w:tcPr>
            <w:tcW w:type="dxa" w:w="1683"/>
          </w:tcPr>
          <w:p>
            <w:pPr>
              <w:pStyle w:val="Compact"/>
            </w:pPr>
            <w:r>
              <w:t xml:space="preserve">Housing officer</w:t>
            </w:r>
          </w:p>
        </w:tc>
        <w:tc>
          <w:tcPr>
            <w:tcW w:type="dxa" w:w="4115"/>
          </w:tcPr>
          <w:p>
            <w:pPr>
              <w:pStyle w:val="Compact"/>
            </w:pPr>
            <w:r>
              <w:t xml:space="preserve">Lettings, rent collection and general tenancy management</w:t>
            </w:r>
          </w:p>
        </w:tc>
        <w:tc>
          <w:tcPr>
            <w:tcW w:type="dxa" w:w="935"/>
          </w:tcPr>
          <w:p>
            <w:pPr>
              <w:pStyle w:val="Compact"/>
            </w:pPr>
            <w:r>
              <w:t xml:space="preserve">40</w:t>
            </w:r>
          </w:p>
        </w:tc>
        <w:tc>
          <w:tcPr>
            <w:tcW w:type="dxa" w:w="935"/>
          </w:tcPr>
          <w:p>
            <w:pPr>
              <w:pStyle w:val="Compact"/>
            </w:pPr>
            <w:r>
              <w:t xml:space="preserve">HM</w:t>
            </w:r>
          </w:p>
        </w:tc>
        <w:tc>
          <w:tcPr>
            <w:tcW w:type="dxa" w:w="1683"/>
          </w:tcPr>
          <w:p>
            <w:pPr>
              <w:pStyle w:val="Compact"/>
            </w:pPr>
            <w:r>
              <w:t xml:space="preserve">Rent</w:t>
            </w:r>
          </w:p>
        </w:tc>
      </w:tr>
      <w:tr>
        <w:trPr>
          <w:cantSplit/>
        </w:trPr>
        <w:tc>
          <w:tcPr>
            <w:tcW w:type="dxa" w:w="1683"/>
            <w:shd w:val="clear" w:color="auto" w:fill="E6ECF4"/>
          </w:tcPr>
          <w:p>
            <w:pPr>
              <w:pStyle w:val="Compact"/>
            </w:pPr>
            <w:r>
              <w:t xml:space="preserve">On-call rota</w:t>
            </w:r>
          </w:p>
        </w:tc>
        <w:tc>
          <w:tcPr>
            <w:tcW w:type="dxa" w:w="4115"/>
            <w:shd w:val="clear" w:color="auto" w:fill="E6ECF4"/>
          </w:tcPr>
          <w:p>
            <w:pPr>
              <w:pStyle w:val="Compact"/>
            </w:pPr>
            <w:r>
              <w:t xml:space="preserve">Out-of-hours cover and call-outs</w:t>
            </w:r>
          </w:p>
        </w:tc>
        <w:tc>
          <w:tcPr>
            <w:tcW w:type="dxa" w:w="935"/>
            <w:shd w:val="clear" w:color="auto" w:fill="E6ECF4"/>
          </w:tcPr>
          <w:p>
            <w:pPr>
              <w:pStyle w:val="Compact"/>
            </w:pPr>
            <w:r>
              <w:t xml:space="preserve">100</w:t>
            </w:r>
          </w:p>
        </w:tc>
        <w:tc>
          <w:tcPr>
            <w:tcW w:type="dxa" w:w="935"/>
            <w:shd w:val="clear" w:color="auto" w:fill="E6ECF4"/>
          </w:tcPr>
          <w:p>
            <w:pPr>
              <w:pStyle w:val="Compact"/>
            </w:pPr>
            <w:r>
              <w:t xml:space="preserve">SUP</w:t>
            </w:r>
          </w:p>
        </w:tc>
        <w:tc>
          <w:tcPr>
            <w:tcW w:type="dxa" w:w="1683"/>
            <w:shd w:val="clear" w:color="auto" w:fill="E6ECF4"/>
          </w:tcPr>
          <w:p>
            <w:pPr>
              <w:pStyle w:val="Compact"/>
            </w:pPr>
            <w:r>
              <w:t xml:space="preserve">Eligible</w:t>
            </w:r>
          </w:p>
        </w:tc>
      </w:tr>
    </w:tbl>
    <w:p>
      <w:pPr>
        <w:pStyle w:val="BodyText"/>
      </w:pPr>
      <w:r>
        <w:t xml:space="preserve">The support worker's percentages are after spreading recording and travel time across the other activities in proportion. The 20% for personal support matches about 30 minutes a week for each tenant in Appendix 6.</w:t>
      </w:r>
    </w:p>
    <w:bookmarkEnd w:id="23"/>
    <w:bookmarkStart w:id="25" w:name="e4-the-build-up"/>
    <w:p>
      <w:pPr>
        <w:pStyle w:val="Heading3"/>
      </w:pPr>
      <w:r>
        <w:t xml:space="preserve">E4. The build-up</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748"/>
        <w:gridCol w:w="4864"/>
        <w:gridCol w:w="1216"/>
        <w:gridCol w:w="1309"/>
        <w:gridCol w:w="1216"/>
      </w:tblGrid>
      <w:tr>
        <w:trPr>
          <w:tblHeader w:val="on"/>
          <w:cantSplit/>
          <w:tblHeader w:val="true"/>
        </w:trPr>
        <w:tc>
          <w:tcPr>
            <w:tcW w:type="dxa" w:w="748"/>
            <w:shd w:val="clear" w:color="auto" w:fill="002F6D"/>
          </w:tcPr>
          <w:p>
            <w:pPr>
              <w:pStyle w:val="Compact"/>
            </w:pPr>
            <w:r>
              <w:rPr>
                <w:b/>
                <w:color w:val="FFFFFF"/>
              </w:rPr>
              <w:t xml:space="preserve">Line</w:t>
            </w:r>
          </w:p>
        </w:tc>
        <w:tc>
          <w:tcPr>
            <w:tcW w:type="dxa" w:w="4864"/>
            <w:shd w:val="clear" w:color="auto" w:fill="002F6D"/>
          </w:tcPr>
          <w:p>
            <w:pPr>
              <w:pStyle w:val="Compact"/>
            </w:pPr>
            <w:r>
              <w:rPr>
                <w:b/>
                <w:color w:val="FFFFFF"/>
              </w:rPr>
              <w:t xml:space="preserve">Item</w:t>
            </w:r>
          </w:p>
        </w:tc>
        <w:tc>
          <w:tcPr>
            <w:tcW w:type="dxa" w:w="1216"/>
            <w:shd w:val="clear" w:color="auto" w:fill="002F6D"/>
          </w:tcPr>
          <w:p>
            <w:pPr>
              <w:pStyle w:val="Compact"/>
            </w:pPr>
            <w:r>
              <w:rPr>
                <w:b/>
                <w:color w:val="FFFFFF"/>
              </w:rPr>
              <w:t xml:space="preserve">£ per year</w:t>
            </w:r>
          </w:p>
        </w:tc>
        <w:tc>
          <w:tcPr>
            <w:tcW w:type="dxa" w:w="1309"/>
            <w:shd w:val="clear" w:color="auto" w:fill="002F6D"/>
          </w:tcPr>
          <w:p>
            <w:pPr>
              <w:pStyle w:val="Compact"/>
            </w:pPr>
            <w:r>
              <w:rPr>
                <w:b/>
                <w:color w:val="FFFFFF"/>
              </w:rPr>
              <w:t xml:space="preserve">£ per unit per week</w:t>
            </w:r>
          </w:p>
        </w:tc>
        <w:tc>
          <w:tcPr>
            <w:tcW w:type="dxa" w:w="1216"/>
            <w:shd w:val="clear" w:color="auto" w:fill="002F6D"/>
          </w:tcPr>
          <w:p>
            <w:pPr>
              <w:pStyle w:val="Compact"/>
            </w:pPr>
            <w:r>
              <w:rPr>
                <w:b/>
                <w:color w:val="FFFFFF"/>
              </w:rPr>
              <w:t xml:space="preserve">Treatment</w:t>
            </w:r>
          </w:p>
        </w:tc>
      </w:tr>
      <w:tr>
        <w:trPr>
          <w:cantSplit/>
        </w:trPr>
        <w:tc>
          <w:tcPr>
            <w:tcW w:type="dxa" w:w="748"/>
          </w:tcPr>
          <w:p>
            <w:pPr>
              <w:pStyle w:val="Compact"/>
            </w:pPr>
            <w:r>
              <w:rPr>
                <w:b/>
                <w:bCs/>
              </w:rPr>
              <w:t xml:space="preserve">1</w:t>
            </w:r>
          </w:p>
        </w:tc>
        <w:tc>
          <w:tcPr>
            <w:tcW w:type="dxa" w:w="4864"/>
          </w:tcPr>
          <w:p>
            <w:pPr>
              <w:pStyle w:val="Compact"/>
            </w:pPr>
            <w:r>
              <w:rPr>
                <w:b/>
                <w:bCs/>
              </w:rPr>
              <w:t xml:space="preserve">Core rent</w:t>
            </w:r>
          </w:p>
        </w:tc>
        <w:tc>
          <w:tcPr>
            <w:tcW w:type="dxa" w:w="1216"/>
          </w:tcPr>
          <w:p>
            <w:pPr>
              <w:pStyle w:val="Compact"/>
            </w:pPr>
          </w:p>
        </w:tc>
        <w:tc>
          <w:tcPr>
            <w:tcW w:type="dxa" w:w="1309"/>
          </w:tcPr>
          <w:p>
            <w:pPr>
              <w:pStyle w:val="Compact"/>
            </w:pPr>
          </w:p>
        </w:tc>
        <w:tc>
          <w:tcPr>
            <w:tcW w:type="dxa" w:w="1216"/>
          </w:tcPr>
          <w:p>
            <w:pPr>
              <w:pStyle w:val="Compact"/>
            </w:pPr>
          </w:p>
        </w:tc>
      </w:tr>
      <w:tr>
        <w:trPr>
          <w:cantSplit/>
        </w:trPr>
        <w:tc>
          <w:tcPr>
            <w:tcW w:type="dxa" w:w="748"/>
            <w:shd w:val="clear" w:color="auto" w:fill="E6ECF4"/>
          </w:tcPr>
          <w:p>
            <w:pPr>
              <w:pStyle w:val="Compact"/>
            </w:pPr>
            <w:r>
              <w:t xml:space="preserve">1.1</w:t>
            </w:r>
          </w:p>
        </w:tc>
        <w:tc>
          <w:tcPr>
            <w:tcW w:type="dxa" w:w="4864"/>
            <w:shd w:val="clear" w:color="auto" w:fill="E6ECF4"/>
          </w:tcPr>
          <w:p>
            <w:pPr>
              <w:pStyle w:val="Compact"/>
            </w:pPr>
            <w:r>
              <w:t xml:space="preserve">Lease payment to owner (full repairing and insuring, CPI-linked)</w:t>
            </w:r>
          </w:p>
        </w:tc>
        <w:tc>
          <w:tcPr>
            <w:tcW w:type="dxa" w:w="1216"/>
            <w:shd w:val="clear" w:color="auto" w:fill="E6ECF4"/>
          </w:tcPr>
          <w:p>
            <w:pPr>
              <w:pStyle w:val="Compact"/>
            </w:pPr>
            <w:r>
              <w:t xml:space="preserve">29,900</w:t>
            </w:r>
          </w:p>
        </w:tc>
        <w:tc>
          <w:tcPr>
            <w:tcW w:type="dxa" w:w="1309"/>
            <w:shd w:val="clear" w:color="auto" w:fill="E6ECF4"/>
          </w:tcPr>
          <w:p>
            <w:pPr>
              <w:pStyle w:val="Compact"/>
            </w:pPr>
            <w:r>
              <w:t xml:space="preserve">115.00</w:t>
            </w:r>
          </w:p>
        </w:tc>
        <w:tc>
          <w:tcPr>
            <w:tcW w:type="dxa" w:w="1216"/>
            <w:shd w:val="clear" w:color="auto" w:fill="E6ECF4"/>
          </w:tcPr>
          <w:p>
            <w:pPr>
              <w:pStyle w:val="Compact"/>
            </w:pPr>
            <w:r>
              <w:t xml:space="preserve">Rent</w:t>
            </w:r>
          </w:p>
        </w:tc>
      </w:tr>
      <w:tr>
        <w:trPr>
          <w:cantSplit/>
        </w:trPr>
        <w:tc>
          <w:tcPr>
            <w:tcW w:type="dxa" w:w="748"/>
          </w:tcPr>
          <w:p>
            <w:pPr>
              <w:pStyle w:val="Compact"/>
            </w:pPr>
            <w:r>
              <w:t xml:space="preserve">1.2</w:t>
            </w:r>
          </w:p>
        </w:tc>
        <w:tc>
          <w:tcPr>
            <w:tcW w:type="dxa" w:w="4864"/>
          </w:tcPr>
          <w:p>
            <w:pPr>
              <w:pStyle w:val="Compact"/>
            </w:pPr>
            <w:r>
              <w:t xml:space="preserve">Responsive and cyclical repairs</w:t>
            </w:r>
          </w:p>
        </w:tc>
        <w:tc>
          <w:tcPr>
            <w:tcW w:type="dxa" w:w="1216"/>
          </w:tcPr>
          <w:p>
            <w:pPr>
              <w:pStyle w:val="Compact"/>
            </w:pPr>
            <w:r>
              <w:t xml:space="preserve">3,120</w:t>
            </w:r>
          </w:p>
        </w:tc>
        <w:tc>
          <w:tcPr>
            <w:tcW w:type="dxa" w:w="1309"/>
          </w:tcPr>
          <w:p>
            <w:pPr>
              <w:pStyle w:val="Compact"/>
            </w:pPr>
            <w:r>
              <w:t xml:space="preserve">12.00</w:t>
            </w:r>
          </w:p>
        </w:tc>
        <w:tc>
          <w:tcPr>
            <w:tcW w:type="dxa" w:w="1216"/>
          </w:tcPr>
          <w:p>
            <w:pPr>
              <w:pStyle w:val="Compact"/>
            </w:pPr>
            <w:r>
              <w:t xml:space="preserve">Rent</w:t>
            </w:r>
          </w:p>
        </w:tc>
      </w:tr>
      <w:tr>
        <w:trPr>
          <w:cantSplit/>
        </w:trPr>
        <w:tc>
          <w:tcPr>
            <w:tcW w:type="dxa" w:w="748"/>
            <w:shd w:val="clear" w:color="auto" w:fill="E6ECF4"/>
          </w:tcPr>
          <w:p>
            <w:pPr>
              <w:pStyle w:val="Compact"/>
            </w:pPr>
            <w:r>
              <w:t xml:space="preserve">1.3</w:t>
            </w:r>
          </w:p>
        </w:tc>
        <w:tc>
          <w:tcPr>
            <w:tcW w:type="dxa" w:w="4864"/>
            <w:shd w:val="clear" w:color="auto" w:fill="E6ECF4"/>
          </w:tcPr>
          <w:p>
            <w:pPr>
              <w:pStyle w:val="Compact"/>
            </w:pPr>
            <w:r>
              <w:t xml:space="preserve">Planned maintenance provision (long-term maintenance)</w:t>
            </w:r>
          </w:p>
        </w:tc>
        <w:tc>
          <w:tcPr>
            <w:tcW w:type="dxa" w:w="1216"/>
            <w:shd w:val="clear" w:color="auto" w:fill="E6ECF4"/>
          </w:tcPr>
          <w:p>
            <w:pPr>
              <w:pStyle w:val="Compact"/>
            </w:pPr>
            <w:r>
              <w:t xml:space="preserve">1,560</w:t>
            </w:r>
          </w:p>
        </w:tc>
        <w:tc>
          <w:tcPr>
            <w:tcW w:type="dxa" w:w="1309"/>
            <w:shd w:val="clear" w:color="auto" w:fill="E6ECF4"/>
          </w:tcPr>
          <w:p>
            <w:pPr>
              <w:pStyle w:val="Compact"/>
            </w:pPr>
            <w:r>
              <w:t xml:space="preserve">6.00</w:t>
            </w:r>
          </w:p>
        </w:tc>
        <w:tc>
          <w:tcPr>
            <w:tcW w:type="dxa" w:w="1216"/>
            <w:shd w:val="clear" w:color="auto" w:fill="E6ECF4"/>
          </w:tcPr>
          <w:p>
            <w:pPr>
              <w:pStyle w:val="Compact"/>
            </w:pPr>
            <w:r>
              <w:t xml:space="preserve">Rent</w:t>
            </w:r>
          </w:p>
        </w:tc>
      </w:tr>
      <w:tr>
        <w:trPr>
          <w:cantSplit/>
        </w:trPr>
        <w:tc>
          <w:tcPr>
            <w:tcW w:type="dxa" w:w="748"/>
          </w:tcPr>
          <w:p>
            <w:pPr>
              <w:pStyle w:val="Compact"/>
            </w:pPr>
            <w:r>
              <w:t xml:space="preserve">1.4</w:t>
            </w:r>
          </w:p>
        </w:tc>
        <w:tc>
          <w:tcPr>
            <w:tcW w:type="dxa" w:w="4864"/>
          </w:tcPr>
          <w:p>
            <w:pPr>
              <w:pStyle w:val="Compact"/>
            </w:pPr>
            <w:r>
              <w:t xml:space="preserve">General housing management: housing officer 40% (£2,067) and central lettings and rent collection (£2,600)</w:t>
            </w:r>
          </w:p>
        </w:tc>
        <w:tc>
          <w:tcPr>
            <w:tcW w:type="dxa" w:w="1216"/>
          </w:tcPr>
          <w:p>
            <w:pPr>
              <w:pStyle w:val="Compact"/>
            </w:pPr>
            <w:r>
              <w:t xml:space="preserve">4,667</w:t>
            </w:r>
          </w:p>
        </w:tc>
        <w:tc>
          <w:tcPr>
            <w:tcW w:type="dxa" w:w="1309"/>
          </w:tcPr>
          <w:p>
            <w:pPr>
              <w:pStyle w:val="Compact"/>
            </w:pPr>
            <w:r>
              <w:t xml:space="preserve">17.95</w:t>
            </w:r>
          </w:p>
        </w:tc>
        <w:tc>
          <w:tcPr>
            <w:tcW w:type="dxa" w:w="1216"/>
          </w:tcPr>
          <w:p>
            <w:pPr>
              <w:pStyle w:val="Compact"/>
            </w:pPr>
            <w:r>
              <w:t xml:space="preserve">Rent</w:t>
            </w:r>
          </w:p>
        </w:tc>
      </w:tr>
      <w:tr>
        <w:trPr>
          <w:cantSplit/>
        </w:trPr>
        <w:tc>
          <w:tcPr>
            <w:tcW w:type="dxa" w:w="748"/>
            <w:shd w:val="clear" w:color="auto" w:fill="E6ECF4"/>
          </w:tcPr>
          <w:p>
            <w:pPr>
              <w:pStyle w:val="Compact"/>
            </w:pPr>
            <w:r>
              <w:t xml:space="preserve">1.5</w:t>
            </w:r>
          </w:p>
        </w:tc>
        <w:tc>
          <w:tcPr>
            <w:tcW w:type="dxa" w:w="4864"/>
            <w:shd w:val="clear" w:color="auto" w:fill="E6ECF4"/>
          </w:tcPr>
          <w:p>
            <w:pPr>
              <w:pStyle w:val="Compact"/>
            </w:pPr>
            <w:r>
              <w:t xml:space="preserve">Buildings and contents insurance</w:t>
            </w:r>
          </w:p>
        </w:tc>
        <w:tc>
          <w:tcPr>
            <w:tcW w:type="dxa" w:w="1216"/>
            <w:shd w:val="clear" w:color="auto" w:fill="E6ECF4"/>
          </w:tcPr>
          <w:p>
            <w:pPr>
              <w:pStyle w:val="Compact"/>
            </w:pPr>
            <w:r>
              <w:t xml:space="preserve">650</w:t>
            </w:r>
          </w:p>
        </w:tc>
        <w:tc>
          <w:tcPr>
            <w:tcW w:type="dxa" w:w="1309"/>
            <w:shd w:val="clear" w:color="auto" w:fill="E6ECF4"/>
          </w:tcPr>
          <w:p>
            <w:pPr>
              <w:pStyle w:val="Compact"/>
            </w:pPr>
            <w:r>
              <w:t xml:space="preserve">2.50</w:t>
            </w:r>
          </w:p>
        </w:tc>
        <w:tc>
          <w:tcPr>
            <w:tcW w:type="dxa" w:w="1216"/>
            <w:shd w:val="clear" w:color="auto" w:fill="E6ECF4"/>
          </w:tcPr>
          <w:p>
            <w:pPr>
              <w:pStyle w:val="Compact"/>
            </w:pPr>
            <w:r>
              <w:t xml:space="preserve">Rent</w:t>
            </w:r>
          </w:p>
        </w:tc>
      </w:tr>
      <w:tr>
        <w:trPr>
          <w:cantSplit/>
        </w:trPr>
        <w:tc>
          <w:tcPr>
            <w:tcW w:type="dxa" w:w="748"/>
          </w:tcPr>
          <w:p>
            <w:pPr>
              <w:pStyle w:val="Compact"/>
            </w:pPr>
            <w:r>
              <w:t xml:space="preserve">1.6</w:t>
            </w:r>
          </w:p>
        </w:tc>
        <w:tc>
          <w:tcPr>
            <w:tcW w:type="dxa" w:w="4864"/>
          </w:tcPr>
          <w:p>
            <w:pPr>
              <w:pStyle w:val="Compact"/>
            </w:pPr>
            <w:r>
              <w:t xml:space="preserve">Council tax, where the landlord is liable for a shared house</w:t>
            </w:r>
          </w:p>
        </w:tc>
        <w:tc>
          <w:tcPr>
            <w:tcW w:type="dxa" w:w="1216"/>
          </w:tcPr>
          <w:p>
            <w:pPr>
              <w:pStyle w:val="Compact"/>
            </w:pPr>
            <w:r>
              <w:t xml:space="preserve">1,365</w:t>
            </w:r>
          </w:p>
        </w:tc>
        <w:tc>
          <w:tcPr>
            <w:tcW w:type="dxa" w:w="1309"/>
          </w:tcPr>
          <w:p>
            <w:pPr>
              <w:pStyle w:val="Compact"/>
            </w:pPr>
            <w:r>
              <w:t xml:space="preserve">5.25</w:t>
            </w:r>
          </w:p>
        </w:tc>
        <w:tc>
          <w:tcPr>
            <w:tcW w:type="dxa" w:w="1216"/>
          </w:tcPr>
          <w:p>
            <w:pPr>
              <w:pStyle w:val="Compact"/>
            </w:pPr>
            <w:r>
              <w:t xml:space="preserve">Rent</w:t>
            </w:r>
          </w:p>
        </w:tc>
      </w:tr>
      <w:tr>
        <w:trPr>
          <w:cantSplit/>
        </w:trPr>
        <w:tc>
          <w:tcPr>
            <w:tcW w:type="dxa" w:w="748"/>
            <w:shd w:val="clear" w:color="auto" w:fill="E6ECF4"/>
          </w:tcPr>
          <w:p>
            <w:pPr>
              <w:pStyle w:val="Compact"/>
            </w:pPr>
            <w:r>
              <w:t xml:space="preserve">1.7</w:t>
            </w:r>
          </w:p>
        </w:tc>
        <w:tc>
          <w:tcPr>
            <w:tcW w:type="dxa" w:w="4864"/>
            <w:shd w:val="clear" w:color="auto" w:fill="E6ECF4"/>
          </w:tcPr>
          <w:p>
            <w:pPr>
              <w:pStyle w:val="Compact"/>
            </w:pPr>
            <w:r>
              <w:t xml:space="preserve">Voids and bad debts: 8% of lines 1.1 to 1.6 (actual: voids 7%, bad debts 1%, average of last two years)</w:t>
            </w:r>
          </w:p>
        </w:tc>
        <w:tc>
          <w:tcPr>
            <w:tcW w:type="dxa" w:w="1216"/>
            <w:shd w:val="clear" w:color="auto" w:fill="E6ECF4"/>
          </w:tcPr>
          <w:p>
            <w:pPr>
              <w:pStyle w:val="Compact"/>
            </w:pPr>
            <w:r>
              <w:t xml:space="preserve">3,301</w:t>
            </w:r>
          </w:p>
        </w:tc>
        <w:tc>
          <w:tcPr>
            <w:tcW w:type="dxa" w:w="1309"/>
            <w:shd w:val="clear" w:color="auto" w:fill="E6ECF4"/>
          </w:tcPr>
          <w:p>
            <w:pPr>
              <w:pStyle w:val="Compact"/>
            </w:pPr>
            <w:r>
              <w:t xml:space="preserve">12.70</w:t>
            </w:r>
          </w:p>
        </w:tc>
        <w:tc>
          <w:tcPr>
            <w:tcW w:type="dxa" w:w="1216"/>
            <w:shd w:val="clear" w:color="auto" w:fill="E6ECF4"/>
          </w:tcPr>
          <w:p>
            <w:pPr>
              <w:pStyle w:val="Compact"/>
            </w:pPr>
            <w:r>
              <w:t xml:space="preserve">Rent</w:t>
            </w:r>
          </w:p>
        </w:tc>
      </w:tr>
      <w:tr>
        <w:trPr>
          <w:cantSplit/>
        </w:trPr>
        <w:tc>
          <w:tcPr>
            <w:tcW w:type="dxa" w:w="748"/>
          </w:tcPr>
          <w:p>
            <w:pPr>
              <w:pStyle w:val="Compact"/>
            </w:pPr>
          </w:p>
        </w:tc>
        <w:tc>
          <w:tcPr>
            <w:tcW w:type="dxa" w:w="4864"/>
          </w:tcPr>
          <w:p>
            <w:pPr>
              <w:pStyle w:val="Compact"/>
            </w:pPr>
            <w:r>
              <w:rPr>
                <w:b/>
                <w:bCs/>
              </w:rPr>
              <w:t xml:space="preserve">Core rent total</w:t>
            </w:r>
          </w:p>
        </w:tc>
        <w:tc>
          <w:tcPr>
            <w:tcW w:type="dxa" w:w="1216"/>
          </w:tcPr>
          <w:p>
            <w:pPr>
              <w:pStyle w:val="Compact"/>
            </w:pPr>
            <w:r>
              <w:rPr>
                <w:b/>
                <w:bCs/>
              </w:rPr>
              <w:t xml:space="preserve">44,563</w:t>
            </w:r>
          </w:p>
        </w:tc>
        <w:tc>
          <w:tcPr>
            <w:tcW w:type="dxa" w:w="1309"/>
          </w:tcPr>
          <w:p>
            <w:pPr>
              <w:pStyle w:val="Compact"/>
            </w:pPr>
            <w:r>
              <w:rPr>
                <w:b/>
                <w:bCs/>
              </w:rPr>
              <w:t xml:space="preserve">171.39</w:t>
            </w:r>
          </w:p>
        </w:tc>
        <w:tc>
          <w:tcPr>
            <w:tcW w:type="dxa" w:w="1216"/>
          </w:tcPr>
          <w:p>
            <w:pPr>
              <w:pStyle w:val="Compact"/>
            </w:pPr>
          </w:p>
        </w:tc>
      </w:tr>
      <w:tr>
        <w:trPr>
          <w:cantSplit/>
        </w:trPr>
        <w:tc>
          <w:tcPr>
            <w:tcW w:type="dxa" w:w="748"/>
            <w:shd w:val="clear" w:color="auto" w:fill="E6ECF4"/>
          </w:tcPr>
          <w:p>
            <w:pPr>
              <w:pStyle w:val="Compact"/>
            </w:pPr>
            <w:r>
              <w:rPr>
                <w:b/>
                <w:bCs/>
              </w:rPr>
              <w:t xml:space="preserve">2</w:t>
            </w:r>
          </w:p>
        </w:tc>
        <w:tc>
          <w:tcPr>
            <w:tcW w:type="dxa" w:w="4864"/>
            <w:shd w:val="clear" w:color="auto" w:fill="E6ECF4"/>
          </w:tcPr>
          <w:p>
            <w:pPr>
              <w:pStyle w:val="Compact"/>
            </w:pPr>
            <w:r>
              <w:rPr>
                <w:b/>
                <w:bCs/>
              </w:rPr>
              <w:t xml:space="preserve">Eligible service charges</w:t>
            </w:r>
          </w:p>
        </w:tc>
        <w:tc>
          <w:tcPr>
            <w:tcW w:type="dxa" w:w="1216"/>
            <w:shd w:val="clear" w:color="auto" w:fill="E6ECF4"/>
          </w:tcPr>
          <w:p>
            <w:pPr>
              <w:pStyle w:val="Compact"/>
            </w:pPr>
          </w:p>
        </w:tc>
        <w:tc>
          <w:tcPr>
            <w:tcW w:type="dxa" w:w="1309"/>
            <w:shd w:val="clear" w:color="auto" w:fill="E6ECF4"/>
          </w:tcPr>
          <w:p>
            <w:pPr>
              <w:pStyle w:val="Compact"/>
            </w:pPr>
          </w:p>
        </w:tc>
        <w:tc>
          <w:tcPr>
            <w:tcW w:type="dxa" w:w="1216"/>
            <w:shd w:val="clear" w:color="auto" w:fill="E6ECF4"/>
          </w:tcPr>
          <w:p>
            <w:pPr>
              <w:pStyle w:val="Compact"/>
            </w:pPr>
          </w:p>
        </w:tc>
      </w:tr>
      <w:tr>
        <w:trPr>
          <w:cantSplit/>
        </w:trPr>
        <w:tc>
          <w:tcPr>
            <w:tcW w:type="dxa" w:w="748"/>
          </w:tcPr>
          <w:p>
            <w:pPr>
              <w:pStyle w:val="Compact"/>
            </w:pPr>
            <w:r>
              <w:t xml:space="preserve">2.1</w:t>
            </w:r>
          </w:p>
        </w:tc>
        <w:tc>
          <w:tcPr>
            <w:tcW w:type="dxa" w:w="4864"/>
          </w:tcPr>
          <w:p>
            <w:pPr>
              <w:pStyle w:val="Compact"/>
            </w:pPr>
            <w:r>
              <w:t xml:space="preserve">Intensive housing management: housing officer 60%</w:t>
            </w:r>
          </w:p>
        </w:tc>
        <w:tc>
          <w:tcPr>
            <w:tcW w:type="dxa" w:w="1216"/>
          </w:tcPr>
          <w:p>
            <w:pPr>
              <w:pStyle w:val="Compact"/>
            </w:pPr>
            <w:r>
              <w:t xml:space="preserve">3,100</w:t>
            </w:r>
          </w:p>
        </w:tc>
        <w:tc>
          <w:tcPr>
            <w:tcW w:type="dxa" w:w="1309"/>
          </w:tcPr>
          <w:p>
            <w:pPr>
              <w:pStyle w:val="Compact"/>
            </w:pPr>
            <w:r>
              <w:t xml:space="preserve">11.92</w:t>
            </w:r>
          </w:p>
        </w:tc>
        <w:tc>
          <w:tcPr>
            <w:tcW w:type="dxa" w:w="1216"/>
          </w:tcPr>
          <w:p>
            <w:pPr>
              <w:pStyle w:val="Compact"/>
            </w:pPr>
            <w:r>
              <w:t xml:space="preserve">Eligible</w:t>
            </w:r>
          </w:p>
        </w:tc>
      </w:tr>
      <w:tr>
        <w:trPr>
          <w:cantSplit/>
        </w:trPr>
        <w:tc>
          <w:tcPr>
            <w:tcW w:type="dxa" w:w="748"/>
            <w:shd w:val="clear" w:color="auto" w:fill="E6ECF4"/>
          </w:tcPr>
          <w:p>
            <w:pPr>
              <w:pStyle w:val="Compact"/>
            </w:pPr>
            <w:r>
              <w:t xml:space="preserve">2.2</w:t>
            </w:r>
          </w:p>
        </w:tc>
        <w:tc>
          <w:tcPr>
            <w:tcW w:type="dxa" w:w="4864"/>
            <w:shd w:val="clear" w:color="auto" w:fill="E6ECF4"/>
          </w:tcPr>
          <w:p>
            <w:pPr>
              <w:pStyle w:val="Compact"/>
            </w:pPr>
            <w:r>
              <w:t xml:space="preserve">Housing-related support: support worker 50%</w:t>
            </w:r>
          </w:p>
        </w:tc>
        <w:tc>
          <w:tcPr>
            <w:tcW w:type="dxa" w:w="1216"/>
            <w:shd w:val="clear" w:color="auto" w:fill="E6ECF4"/>
          </w:tcPr>
          <w:p>
            <w:pPr>
              <w:pStyle w:val="Compact"/>
            </w:pPr>
            <w:r>
              <w:t xml:space="preserve">5,333</w:t>
            </w:r>
          </w:p>
        </w:tc>
        <w:tc>
          <w:tcPr>
            <w:tcW w:type="dxa" w:w="1309"/>
            <w:shd w:val="clear" w:color="auto" w:fill="E6ECF4"/>
          </w:tcPr>
          <w:p>
            <w:pPr>
              <w:pStyle w:val="Compact"/>
            </w:pPr>
            <w:r>
              <w:t xml:space="preserve">20.51</w:t>
            </w:r>
          </w:p>
        </w:tc>
        <w:tc>
          <w:tcPr>
            <w:tcW w:type="dxa" w:w="1216"/>
            <w:shd w:val="clear" w:color="auto" w:fill="E6ECF4"/>
          </w:tcPr>
          <w:p>
            <w:pPr>
              <w:pStyle w:val="Compact"/>
            </w:pPr>
            <w:r>
              <w:t xml:space="preserve">Eligible</w:t>
            </w:r>
          </w:p>
        </w:tc>
      </w:tr>
      <w:tr>
        <w:trPr>
          <w:cantSplit/>
        </w:trPr>
        <w:tc>
          <w:tcPr>
            <w:tcW w:type="dxa" w:w="748"/>
          </w:tcPr>
          <w:p>
            <w:pPr>
              <w:pStyle w:val="Compact"/>
            </w:pPr>
            <w:r>
              <w:t xml:space="preserve">2.3</w:t>
            </w:r>
          </w:p>
        </w:tc>
        <w:tc>
          <w:tcPr>
            <w:tcW w:type="dxa" w:w="4864"/>
          </w:tcPr>
          <w:p>
            <w:pPr>
              <w:pStyle w:val="Compact"/>
            </w:pPr>
            <w:r>
              <w:t xml:space="preserve">Supervision, house checks and interventions: support worker 30%</w:t>
            </w:r>
          </w:p>
        </w:tc>
        <w:tc>
          <w:tcPr>
            <w:tcW w:type="dxa" w:w="1216"/>
          </w:tcPr>
          <w:p>
            <w:pPr>
              <w:pStyle w:val="Compact"/>
            </w:pPr>
            <w:r>
              <w:t xml:space="preserve">3,200</w:t>
            </w:r>
          </w:p>
        </w:tc>
        <w:tc>
          <w:tcPr>
            <w:tcW w:type="dxa" w:w="1309"/>
          </w:tcPr>
          <w:p>
            <w:pPr>
              <w:pStyle w:val="Compact"/>
            </w:pPr>
            <w:r>
              <w:t xml:space="preserve">12.31</w:t>
            </w:r>
          </w:p>
        </w:tc>
        <w:tc>
          <w:tcPr>
            <w:tcW w:type="dxa" w:w="1216"/>
          </w:tcPr>
          <w:p>
            <w:pPr>
              <w:pStyle w:val="Compact"/>
            </w:pPr>
            <w:r>
              <w:t xml:space="preserve">Eligible</w:t>
            </w:r>
          </w:p>
        </w:tc>
      </w:tr>
      <w:tr>
        <w:trPr>
          <w:cantSplit/>
        </w:trPr>
        <w:tc>
          <w:tcPr>
            <w:tcW w:type="dxa" w:w="748"/>
            <w:shd w:val="clear" w:color="auto" w:fill="E6ECF4"/>
          </w:tcPr>
          <w:p>
            <w:pPr>
              <w:pStyle w:val="Compact"/>
            </w:pPr>
            <w:r>
              <w:t xml:space="preserve">2.4</w:t>
            </w:r>
          </w:p>
        </w:tc>
        <w:tc>
          <w:tcPr>
            <w:tcW w:type="dxa" w:w="4864"/>
            <w:shd w:val="clear" w:color="auto" w:fill="E6ECF4"/>
          </w:tcPr>
          <w:p>
            <w:pPr>
              <w:pStyle w:val="Compact"/>
            </w:pPr>
            <w:r>
              <w:t xml:space="preserve">Supervision, 24-hour on-call: rota share</w:t>
            </w:r>
          </w:p>
        </w:tc>
        <w:tc>
          <w:tcPr>
            <w:tcW w:type="dxa" w:w="1216"/>
            <w:shd w:val="clear" w:color="auto" w:fill="E6ECF4"/>
          </w:tcPr>
          <w:p>
            <w:pPr>
              <w:pStyle w:val="Compact"/>
            </w:pPr>
            <w:r>
              <w:t xml:space="preserve">1,500</w:t>
            </w:r>
          </w:p>
        </w:tc>
        <w:tc>
          <w:tcPr>
            <w:tcW w:type="dxa" w:w="1309"/>
            <w:shd w:val="clear" w:color="auto" w:fill="E6ECF4"/>
          </w:tcPr>
          <w:p>
            <w:pPr>
              <w:pStyle w:val="Compact"/>
            </w:pPr>
            <w:r>
              <w:t xml:space="preserve">5.77</w:t>
            </w:r>
          </w:p>
        </w:tc>
        <w:tc>
          <w:tcPr>
            <w:tcW w:type="dxa" w:w="1216"/>
            <w:shd w:val="clear" w:color="auto" w:fill="E6ECF4"/>
          </w:tcPr>
          <w:p>
            <w:pPr>
              <w:pStyle w:val="Compact"/>
            </w:pPr>
            <w:r>
              <w:t xml:space="preserve">Eligible</w:t>
            </w:r>
          </w:p>
        </w:tc>
      </w:tr>
      <w:tr>
        <w:trPr>
          <w:cantSplit/>
        </w:trPr>
        <w:tc>
          <w:tcPr>
            <w:tcW w:type="dxa" w:w="748"/>
          </w:tcPr>
          <w:p>
            <w:pPr>
              <w:pStyle w:val="Compact"/>
            </w:pPr>
            <w:r>
              <w:t xml:space="preserve">2.5</w:t>
            </w:r>
          </w:p>
        </w:tc>
        <w:tc>
          <w:tcPr>
            <w:tcW w:type="dxa" w:w="4864"/>
          </w:tcPr>
          <w:p>
            <w:pPr>
              <w:pStyle w:val="Compact"/>
            </w:pPr>
            <w:r>
              <w:t xml:space="preserve">Communal cleaning</w:t>
            </w:r>
          </w:p>
        </w:tc>
        <w:tc>
          <w:tcPr>
            <w:tcW w:type="dxa" w:w="1216"/>
          </w:tcPr>
          <w:p>
            <w:pPr>
              <w:pStyle w:val="Compact"/>
            </w:pPr>
            <w:r>
              <w:t xml:space="preserve">2,080</w:t>
            </w:r>
          </w:p>
        </w:tc>
        <w:tc>
          <w:tcPr>
            <w:tcW w:type="dxa" w:w="1309"/>
          </w:tcPr>
          <w:p>
            <w:pPr>
              <w:pStyle w:val="Compact"/>
            </w:pPr>
            <w:r>
              <w:t xml:space="preserve">8.00</w:t>
            </w:r>
          </w:p>
        </w:tc>
        <w:tc>
          <w:tcPr>
            <w:tcW w:type="dxa" w:w="1216"/>
          </w:tcPr>
          <w:p>
            <w:pPr>
              <w:pStyle w:val="Compact"/>
            </w:pPr>
            <w:r>
              <w:t xml:space="preserve">Eligible</w:t>
            </w:r>
          </w:p>
        </w:tc>
      </w:tr>
      <w:tr>
        <w:trPr>
          <w:cantSplit/>
        </w:trPr>
        <w:tc>
          <w:tcPr>
            <w:tcW w:type="dxa" w:w="748"/>
            <w:shd w:val="clear" w:color="auto" w:fill="E6ECF4"/>
          </w:tcPr>
          <w:p>
            <w:pPr>
              <w:pStyle w:val="Compact"/>
            </w:pPr>
            <w:r>
              <w:t xml:space="preserve">2.6</w:t>
            </w:r>
          </w:p>
        </w:tc>
        <w:tc>
          <w:tcPr>
            <w:tcW w:type="dxa" w:w="4864"/>
            <w:shd w:val="clear" w:color="auto" w:fill="E6ECF4"/>
          </w:tcPr>
          <w:p>
            <w:pPr>
              <w:pStyle w:val="Compact"/>
            </w:pPr>
            <w:r>
              <w:t xml:space="preserve">Communal fuel, lighting and water: communal share of utilities, by floor area</w:t>
            </w:r>
          </w:p>
        </w:tc>
        <w:tc>
          <w:tcPr>
            <w:tcW w:type="dxa" w:w="1216"/>
            <w:shd w:val="clear" w:color="auto" w:fill="E6ECF4"/>
          </w:tcPr>
          <w:p>
            <w:pPr>
              <w:pStyle w:val="Compact"/>
            </w:pPr>
            <w:r>
              <w:t xml:space="preserve">1,560</w:t>
            </w:r>
          </w:p>
        </w:tc>
        <w:tc>
          <w:tcPr>
            <w:tcW w:type="dxa" w:w="1309"/>
            <w:shd w:val="clear" w:color="auto" w:fill="E6ECF4"/>
          </w:tcPr>
          <w:p>
            <w:pPr>
              <w:pStyle w:val="Compact"/>
            </w:pPr>
            <w:r>
              <w:t xml:space="preserve">6.00</w:t>
            </w:r>
          </w:p>
        </w:tc>
        <w:tc>
          <w:tcPr>
            <w:tcW w:type="dxa" w:w="1216"/>
            <w:shd w:val="clear" w:color="auto" w:fill="E6ECF4"/>
          </w:tcPr>
          <w:p>
            <w:pPr>
              <w:pStyle w:val="Compact"/>
            </w:pPr>
            <w:r>
              <w:t xml:space="preserve">Eligible</w:t>
            </w:r>
          </w:p>
        </w:tc>
      </w:tr>
      <w:tr>
        <w:trPr>
          <w:cantSplit/>
        </w:trPr>
        <w:tc>
          <w:tcPr>
            <w:tcW w:type="dxa" w:w="748"/>
          </w:tcPr>
          <w:p>
            <w:pPr>
              <w:pStyle w:val="Compact"/>
            </w:pPr>
            <w:r>
              <w:t xml:space="preserve">2.7</w:t>
            </w:r>
          </w:p>
        </w:tc>
        <w:tc>
          <w:tcPr>
            <w:tcW w:type="dxa" w:w="4864"/>
          </w:tcPr>
          <w:p>
            <w:pPr>
              <w:pStyle w:val="Compact"/>
            </w:pPr>
            <w:r>
              <w:t xml:space="preserve">Furniture and white goods (remain the landlord's)</w:t>
            </w:r>
          </w:p>
        </w:tc>
        <w:tc>
          <w:tcPr>
            <w:tcW w:type="dxa" w:w="1216"/>
          </w:tcPr>
          <w:p>
            <w:pPr>
              <w:pStyle w:val="Compact"/>
            </w:pPr>
            <w:r>
              <w:t xml:space="preserve">1,430</w:t>
            </w:r>
          </w:p>
        </w:tc>
        <w:tc>
          <w:tcPr>
            <w:tcW w:type="dxa" w:w="1309"/>
          </w:tcPr>
          <w:p>
            <w:pPr>
              <w:pStyle w:val="Compact"/>
            </w:pPr>
            <w:r>
              <w:t xml:space="preserve">5.50</w:t>
            </w:r>
          </w:p>
        </w:tc>
        <w:tc>
          <w:tcPr>
            <w:tcW w:type="dxa" w:w="1216"/>
          </w:tcPr>
          <w:p>
            <w:pPr>
              <w:pStyle w:val="Compact"/>
            </w:pPr>
            <w:r>
              <w:t xml:space="preserve">Eligible</w:t>
            </w:r>
          </w:p>
        </w:tc>
      </w:tr>
      <w:tr>
        <w:trPr>
          <w:cantSplit/>
        </w:trPr>
        <w:tc>
          <w:tcPr>
            <w:tcW w:type="dxa" w:w="748"/>
            <w:shd w:val="clear" w:color="auto" w:fill="E6ECF4"/>
          </w:tcPr>
          <w:p>
            <w:pPr>
              <w:pStyle w:val="Compact"/>
            </w:pPr>
            <w:r>
              <w:t xml:space="preserve">2.8</w:t>
            </w:r>
          </w:p>
        </w:tc>
        <w:tc>
          <w:tcPr>
            <w:tcW w:type="dxa" w:w="4864"/>
            <w:shd w:val="clear" w:color="auto" w:fill="E6ECF4"/>
          </w:tcPr>
          <w:p>
            <w:pPr>
              <w:pStyle w:val="Compact"/>
            </w:pPr>
            <w:r>
              <w:t xml:space="preserve">Fire alarm, emergency lighting and door entry maintenance</w:t>
            </w:r>
          </w:p>
        </w:tc>
        <w:tc>
          <w:tcPr>
            <w:tcW w:type="dxa" w:w="1216"/>
            <w:shd w:val="clear" w:color="auto" w:fill="E6ECF4"/>
          </w:tcPr>
          <w:p>
            <w:pPr>
              <w:pStyle w:val="Compact"/>
            </w:pPr>
            <w:r>
              <w:t xml:space="preserve">650</w:t>
            </w:r>
          </w:p>
        </w:tc>
        <w:tc>
          <w:tcPr>
            <w:tcW w:type="dxa" w:w="1309"/>
            <w:shd w:val="clear" w:color="auto" w:fill="E6ECF4"/>
          </w:tcPr>
          <w:p>
            <w:pPr>
              <w:pStyle w:val="Compact"/>
            </w:pPr>
            <w:r>
              <w:t xml:space="preserve">2.50</w:t>
            </w:r>
          </w:p>
        </w:tc>
        <w:tc>
          <w:tcPr>
            <w:tcW w:type="dxa" w:w="1216"/>
            <w:shd w:val="clear" w:color="auto" w:fill="E6ECF4"/>
          </w:tcPr>
          <w:p>
            <w:pPr>
              <w:pStyle w:val="Compact"/>
            </w:pPr>
            <w:r>
              <w:t xml:space="preserve">Eligible</w:t>
            </w:r>
          </w:p>
        </w:tc>
      </w:tr>
      <w:tr>
        <w:trPr>
          <w:cantSplit/>
        </w:trPr>
        <w:tc>
          <w:tcPr>
            <w:tcW w:type="dxa" w:w="748"/>
          </w:tcPr>
          <w:p>
            <w:pPr>
              <w:pStyle w:val="Compact"/>
            </w:pPr>
            <w:r>
              <w:t xml:space="preserve">2.9</w:t>
            </w:r>
          </w:p>
        </w:tc>
        <w:tc>
          <w:tcPr>
            <w:tcW w:type="dxa" w:w="4864"/>
          </w:tcPr>
          <w:p>
            <w:pPr>
              <w:pStyle w:val="Compact"/>
            </w:pPr>
            <w:r>
              <w:t xml:space="preserve">Central overheads: 10% of lines 2.1 to 2.8</w:t>
            </w:r>
          </w:p>
        </w:tc>
        <w:tc>
          <w:tcPr>
            <w:tcW w:type="dxa" w:w="1216"/>
          </w:tcPr>
          <w:p>
            <w:pPr>
              <w:pStyle w:val="Compact"/>
            </w:pPr>
            <w:r>
              <w:t xml:space="preserve">1,885</w:t>
            </w:r>
          </w:p>
        </w:tc>
        <w:tc>
          <w:tcPr>
            <w:tcW w:type="dxa" w:w="1309"/>
          </w:tcPr>
          <w:p>
            <w:pPr>
              <w:pStyle w:val="Compact"/>
            </w:pPr>
            <w:r>
              <w:t xml:space="preserve">7.25</w:t>
            </w:r>
          </w:p>
        </w:tc>
        <w:tc>
          <w:tcPr>
            <w:tcW w:type="dxa" w:w="1216"/>
          </w:tcPr>
          <w:p>
            <w:pPr>
              <w:pStyle w:val="Compact"/>
            </w:pPr>
            <w:r>
              <w:t xml:space="preserve">Eligible</w:t>
            </w:r>
          </w:p>
        </w:tc>
      </w:tr>
      <w:tr>
        <w:trPr>
          <w:cantSplit/>
        </w:trPr>
        <w:tc>
          <w:tcPr>
            <w:tcW w:type="dxa" w:w="748"/>
            <w:shd w:val="clear" w:color="auto" w:fill="E6ECF4"/>
          </w:tcPr>
          <w:p>
            <w:pPr>
              <w:pStyle w:val="Compact"/>
            </w:pPr>
            <w:r>
              <w:t xml:space="preserve">2.10</w:t>
            </w:r>
          </w:p>
        </w:tc>
        <w:tc>
          <w:tcPr>
            <w:tcW w:type="dxa" w:w="4864"/>
            <w:shd w:val="clear" w:color="auto" w:fill="E6ECF4"/>
          </w:tcPr>
          <w:p>
            <w:pPr>
              <w:pStyle w:val="Compact"/>
            </w:pPr>
            <w:r>
              <w:t xml:space="preserve">Voids and bad debts: 8% of lines 2.1 to 2.9</w:t>
            </w:r>
          </w:p>
        </w:tc>
        <w:tc>
          <w:tcPr>
            <w:tcW w:type="dxa" w:w="1216"/>
            <w:shd w:val="clear" w:color="auto" w:fill="E6ECF4"/>
          </w:tcPr>
          <w:p>
            <w:pPr>
              <w:pStyle w:val="Compact"/>
            </w:pPr>
            <w:r>
              <w:t xml:space="preserve">1,659</w:t>
            </w:r>
          </w:p>
        </w:tc>
        <w:tc>
          <w:tcPr>
            <w:tcW w:type="dxa" w:w="1309"/>
            <w:shd w:val="clear" w:color="auto" w:fill="E6ECF4"/>
          </w:tcPr>
          <w:p>
            <w:pPr>
              <w:pStyle w:val="Compact"/>
            </w:pPr>
            <w:r>
              <w:t xml:space="preserve">6.38</w:t>
            </w:r>
          </w:p>
        </w:tc>
        <w:tc>
          <w:tcPr>
            <w:tcW w:type="dxa" w:w="1216"/>
            <w:shd w:val="clear" w:color="auto" w:fill="E6ECF4"/>
          </w:tcPr>
          <w:p>
            <w:pPr>
              <w:pStyle w:val="Compact"/>
            </w:pPr>
            <w:r>
              <w:t xml:space="preserve">Eligible</w:t>
            </w:r>
          </w:p>
        </w:tc>
      </w:tr>
      <w:tr>
        <w:trPr>
          <w:cantSplit/>
        </w:trPr>
        <w:tc>
          <w:tcPr>
            <w:tcW w:type="dxa" w:w="748"/>
          </w:tcPr>
          <w:p>
            <w:pPr>
              <w:pStyle w:val="Compact"/>
            </w:pPr>
          </w:p>
        </w:tc>
        <w:tc>
          <w:tcPr>
            <w:tcW w:type="dxa" w:w="4864"/>
          </w:tcPr>
          <w:p>
            <w:pPr>
              <w:pStyle w:val="Compact"/>
            </w:pPr>
            <w:r>
              <w:rPr>
                <w:b/>
                <w:bCs/>
              </w:rPr>
              <w:t xml:space="preserve">Eligible service charges total</w:t>
            </w:r>
          </w:p>
        </w:tc>
        <w:tc>
          <w:tcPr>
            <w:tcW w:type="dxa" w:w="1216"/>
          </w:tcPr>
          <w:p>
            <w:pPr>
              <w:pStyle w:val="Compact"/>
            </w:pPr>
            <w:r>
              <w:rPr>
                <w:b/>
                <w:bCs/>
              </w:rPr>
              <w:t xml:space="preserve">22,398</w:t>
            </w:r>
          </w:p>
        </w:tc>
        <w:tc>
          <w:tcPr>
            <w:tcW w:type="dxa" w:w="1309"/>
          </w:tcPr>
          <w:p>
            <w:pPr>
              <w:pStyle w:val="Compact"/>
            </w:pPr>
            <w:r>
              <w:rPr>
                <w:b/>
                <w:bCs/>
              </w:rPr>
              <w:t xml:space="preserve">86.15</w:t>
            </w:r>
          </w:p>
        </w:tc>
        <w:tc>
          <w:tcPr>
            <w:tcW w:type="dxa" w:w="1216"/>
          </w:tcPr>
          <w:p>
            <w:pPr>
              <w:pStyle w:val="Compact"/>
            </w:pPr>
          </w:p>
        </w:tc>
      </w:tr>
      <w:tr>
        <w:trPr>
          <w:cantSplit/>
        </w:trPr>
        <w:tc>
          <w:tcPr>
            <w:tcW w:type="dxa" w:w="748"/>
            <w:shd w:val="clear" w:color="auto" w:fill="E6ECF4"/>
          </w:tcPr>
          <w:p>
            <w:pPr>
              <w:pStyle w:val="Compact"/>
            </w:pPr>
          </w:p>
        </w:tc>
        <w:tc>
          <w:tcPr>
            <w:tcW w:type="dxa" w:w="4864"/>
            <w:shd w:val="clear" w:color="auto" w:fill="E6ECF4"/>
          </w:tcPr>
          <w:p>
            <w:pPr>
              <w:pStyle w:val="Compact"/>
            </w:pPr>
            <w:r>
              <w:rPr>
                <w:b/>
                <w:bCs/>
              </w:rPr>
              <w:t xml:space="preserve">Eligible rent (core rent plus eligible service charges)</w:t>
            </w:r>
          </w:p>
        </w:tc>
        <w:tc>
          <w:tcPr>
            <w:tcW w:type="dxa" w:w="1216"/>
            <w:shd w:val="clear" w:color="auto" w:fill="E6ECF4"/>
          </w:tcPr>
          <w:p>
            <w:pPr>
              <w:pStyle w:val="Compact"/>
            </w:pPr>
            <w:r>
              <w:rPr>
                <w:b/>
                <w:bCs/>
              </w:rPr>
              <w:t xml:space="preserve">66,960</w:t>
            </w:r>
          </w:p>
        </w:tc>
        <w:tc>
          <w:tcPr>
            <w:tcW w:type="dxa" w:w="1309"/>
            <w:shd w:val="clear" w:color="auto" w:fill="E6ECF4"/>
          </w:tcPr>
          <w:p>
            <w:pPr>
              <w:pStyle w:val="Compact"/>
            </w:pPr>
            <w:r>
              <w:rPr>
                <w:b/>
                <w:bCs/>
              </w:rPr>
              <w:t xml:space="preserve">257.54</w:t>
            </w:r>
          </w:p>
        </w:tc>
        <w:tc>
          <w:tcPr>
            <w:tcW w:type="dxa" w:w="1216"/>
            <w:shd w:val="clear" w:color="auto" w:fill="E6ECF4"/>
          </w:tcPr>
          <w:p>
            <w:pPr>
              <w:pStyle w:val="Compact"/>
            </w:pPr>
            <w:r>
              <w:t xml:space="preserve">Housing Benefit</w:t>
            </w:r>
          </w:p>
        </w:tc>
      </w:tr>
      <w:tr>
        <w:trPr>
          <w:cantSplit/>
        </w:trPr>
        <w:tc>
          <w:tcPr>
            <w:tcW w:type="dxa" w:w="748"/>
          </w:tcPr>
          <w:p>
            <w:pPr>
              <w:pStyle w:val="Compact"/>
            </w:pPr>
            <w:r>
              <w:rPr>
                <w:b/>
                <w:bCs/>
              </w:rPr>
              <w:t xml:space="preserve">3</w:t>
            </w:r>
          </w:p>
        </w:tc>
        <w:tc>
          <w:tcPr>
            <w:tcW w:type="dxa" w:w="4864"/>
          </w:tcPr>
          <w:p>
            <w:pPr>
              <w:pStyle w:val="Compact"/>
            </w:pPr>
            <w:r>
              <w:rPr>
                <w:b/>
                <w:bCs/>
              </w:rPr>
              <w:t xml:space="preserve">Ineligible costs</w:t>
            </w:r>
          </w:p>
        </w:tc>
        <w:tc>
          <w:tcPr>
            <w:tcW w:type="dxa" w:w="1216"/>
          </w:tcPr>
          <w:p>
            <w:pPr>
              <w:pStyle w:val="Compact"/>
            </w:pPr>
          </w:p>
        </w:tc>
        <w:tc>
          <w:tcPr>
            <w:tcW w:type="dxa" w:w="1309"/>
          </w:tcPr>
          <w:p>
            <w:pPr>
              <w:pStyle w:val="Compact"/>
            </w:pPr>
          </w:p>
        </w:tc>
        <w:tc>
          <w:tcPr>
            <w:tcW w:type="dxa" w:w="1216"/>
          </w:tcPr>
          <w:p>
            <w:pPr>
              <w:pStyle w:val="Compact"/>
            </w:pPr>
          </w:p>
        </w:tc>
      </w:tr>
      <w:tr>
        <w:trPr>
          <w:cantSplit/>
        </w:trPr>
        <w:tc>
          <w:tcPr>
            <w:tcW w:type="dxa" w:w="748"/>
            <w:shd w:val="clear" w:color="auto" w:fill="E6ECF4"/>
          </w:tcPr>
          <w:p>
            <w:pPr>
              <w:pStyle w:val="Compact"/>
            </w:pPr>
            <w:r>
              <w:t xml:space="preserve">3.1</w:t>
            </w:r>
          </w:p>
        </w:tc>
        <w:tc>
          <w:tcPr>
            <w:tcW w:type="dxa" w:w="4864"/>
            <w:shd w:val="clear" w:color="auto" w:fill="E6ECF4"/>
          </w:tcPr>
          <w:p>
            <w:pPr>
              <w:pStyle w:val="Compact"/>
            </w:pPr>
            <w:r>
              <w:t xml:space="preserve">Personal support: support worker 20%</w:t>
            </w:r>
          </w:p>
        </w:tc>
        <w:tc>
          <w:tcPr>
            <w:tcW w:type="dxa" w:w="1216"/>
            <w:shd w:val="clear" w:color="auto" w:fill="E6ECF4"/>
          </w:tcPr>
          <w:p>
            <w:pPr>
              <w:pStyle w:val="Compact"/>
            </w:pPr>
            <w:r>
              <w:t xml:space="preserve">2,133</w:t>
            </w:r>
          </w:p>
        </w:tc>
        <w:tc>
          <w:tcPr>
            <w:tcW w:type="dxa" w:w="1309"/>
            <w:shd w:val="clear" w:color="auto" w:fill="E6ECF4"/>
          </w:tcPr>
          <w:p>
            <w:pPr>
              <w:pStyle w:val="Compact"/>
            </w:pPr>
            <w:r>
              <w:t xml:space="preserve">8.21</w:t>
            </w:r>
          </w:p>
        </w:tc>
        <w:tc>
          <w:tcPr>
            <w:tcW w:type="dxa" w:w="1216"/>
            <w:shd w:val="clear" w:color="auto" w:fill="E6ECF4"/>
          </w:tcPr>
          <w:p>
            <w:pPr>
              <w:pStyle w:val="Compact"/>
            </w:pPr>
            <w:r>
              <w:t xml:space="preserve">Ineligible</w:t>
            </w:r>
          </w:p>
        </w:tc>
      </w:tr>
      <w:tr>
        <w:trPr>
          <w:cantSplit/>
        </w:trPr>
        <w:tc>
          <w:tcPr>
            <w:tcW w:type="dxa" w:w="748"/>
          </w:tcPr>
          <w:p>
            <w:pPr>
              <w:pStyle w:val="Compact"/>
            </w:pPr>
            <w:r>
              <w:t xml:space="preserve">3.2</w:t>
            </w:r>
          </w:p>
        </w:tc>
        <w:tc>
          <w:tcPr>
            <w:tcW w:type="dxa" w:w="4864"/>
          </w:tcPr>
          <w:p>
            <w:pPr>
              <w:pStyle w:val="Compact"/>
            </w:pPr>
            <w:r>
              <w:t xml:space="preserve">Fuel and water for tenants' own rooms: remaining share of utilities, by floor area</w:t>
            </w:r>
          </w:p>
        </w:tc>
        <w:tc>
          <w:tcPr>
            <w:tcW w:type="dxa" w:w="1216"/>
          </w:tcPr>
          <w:p>
            <w:pPr>
              <w:pStyle w:val="Compact"/>
            </w:pPr>
            <w:r>
              <w:t xml:space="preserve">7,280</w:t>
            </w:r>
          </w:p>
        </w:tc>
        <w:tc>
          <w:tcPr>
            <w:tcW w:type="dxa" w:w="1309"/>
          </w:tcPr>
          <w:p>
            <w:pPr>
              <w:pStyle w:val="Compact"/>
            </w:pPr>
            <w:r>
              <w:t xml:space="preserve">28.00</w:t>
            </w:r>
          </w:p>
        </w:tc>
        <w:tc>
          <w:tcPr>
            <w:tcW w:type="dxa" w:w="1216"/>
          </w:tcPr>
          <w:p>
            <w:pPr>
              <w:pStyle w:val="Compact"/>
            </w:pPr>
            <w:r>
              <w:t xml:space="preserve">Ineligible</w:t>
            </w:r>
          </w:p>
        </w:tc>
      </w:tr>
      <w:tr>
        <w:trPr>
          <w:cantSplit/>
        </w:trPr>
        <w:tc>
          <w:tcPr>
            <w:tcW w:type="dxa" w:w="748"/>
            <w:shd w:val="clear" w:color="auto" w:fill="E6ECF4"/>
          </w:tcPr>
          <w:p>
            <w:pPr>
              <w:pStyle w:val="Compact"/>
            </w:pPr>
            <w:r>
              <w:t xml:space="preserve">3.3</w:t>
            </w:r>
          </w:p>
        </w:tc>
        <w:tc>
          <w:tcPr>
            <w:tcW w:type="dxa" w:w="4864"/>
            <w:shd w:val="clear" w:color="auto" w:fill="E6ECF4"/>
          </w:tcPr>
          <w:p>
            <w:pPr>
              <w:pStyle w:val="Compact"/>
            </w:pPr>
            <w:r>
              <w:t xml:space="preserve">Central overheads: 10% of lines 3.1 and 3.2</w:t>
            </w:r>
          </w:p>
        </w:tc>
        <w:tc>
          <w:tcPr>
            <w:tcW w:type="dxa" w:w="1216"/>
            <w:shd w:val="clear" w:color="auto" w:fill="E6ECF4"/>
          </w:tcPr>
          <w:p>
            <w:pPr>
              <w:pStyle w:val="Compact"/>
            </w:pPr>
            <w:r>
              <w:t xml:space="preserve">941</w:t>
            </w:r>
          </w:p>
        </w:tc>
        <w:tc>
          <w:tcPr>
            <w:tcW w:type="dxa" w:w="1309"/>
            <w:shd w:val="clear" w:color="auto" w:fill="E6ECF4"/>
          </w:tcPr>
          <w:p>
            <w:pPr>
              <w:pStyle w:val="Compact"/>
            </w:pPr>
            <w:r>
              <w:t xml:space="preserve">3.62</w:t>
            </w:r>
          </w:p>
        </w:tc>
        <w:tc>
          <w:tcPr>
            <w:tcW w:type="dxa" w:w="1216"/>
            <w:shd w:val="clear" w:color="auto" w:fill="E6ECF4"/>
          </w:tcPr>
          <w:p>
            <w:pPr>
              <w:pStyle w:val="Compact"/>
            </w:pPr>
            <w:r>
              <w:t xml:space="preserve">Ineligible</w:t>
            </w:r>
          </w:p>
        </w:tc>
      </w:tr>
      <w:tr>
        <w:trPr>
          <w:cantSplit/>
        </w:trPr>
        <w:tc>
          <w:tcPr>
            <w:tcW w:type="dxa" w:w="748"/>
          </w:tcPr>
          <w:p>
            <w:pPr>
              <w:pStyle w:val="Compact"/>
            </w:pPr>
            <w:r>
              <w:t xml:space="preserve">3.4</w:t>
            </w:r>
          </w:p>
        </w:tc>
        <w:tc>
          <w:tcPr>
            <w:tcW w:type="dxa" w:w="4864"/>
          </w:tcPr>
          <w:p>
            <w:pPr>
              <w:pStyle w:val="Compact"/>
            </w:pPr>
            <w:r>
              <w:t xml:space="preserve">Voids and bad debts: 8% of lines 3.1 to 3.3</w:t>
            </w:r>
          </w:p>
        </w:tc>
        <w:tc>
          <w:tcPr>
            <w:tcW w:type="dxa" w:w="1216"/>
          </w:tcPr>
          <w:p>
            <w:pPr>
              <w:pStyle w:val="Compact"/>
            </w:pPr>
            <w:r>
              <w:t xml:space="preserve">828</w:t>
            </w:r>
          </w:p>
        </w:tc>
        <w:tc>
          <w:tcPr>
            <w:tcW w:type="dxa" w:w="1309"/>
          </w:tcPr>
          <w:p>
            <w:pPr>
              <w:pStyle w:val="Compact"/>
            </w:pPr>
            <w:r>
              <w:t xml:space="preserve">3.19</w:t>
            </w:r>
          </w:p>
        </w:tc>
        <w:tc>
          <w:tcPr>
            <w:tcW w:type="dxa" w:w="1216"/>
          </w:tcPr>
          <w:p>
            <w:pPr>
              <w:pStyle w:val="Compact"/>
            </w:pPr>
            <w:r>
              <w:t xml:space="preserve">Ineligible</w:t>
            </w:r>
          </w:p>
        </w:tc>
      </w:tr>
      <w:tr>
        <w:trPr>
          <w:cantSplit/>
        </w:trPr>
        <w:tc>
          <w:tcPr>
            <w:tcW w:type="dxa" w:w="748"/>
            <w:shd w:val="clear" w:color="auto" w:fill="E6ECF4"/>
          </w:tcPr>
          <w:p>
            <w:pPr>
              <w:pStyle w:val="Compact"/>
            </w:pPr>
          </w:p>
        </w:tc>
        <w:tc>
          <w:tcPr>
            <w:tcW w:type="dxa" w:w="4864"/>
            <w:shd w:val="clear" w:color="auto" w:fill="E6ECF4"/>
          </w:tcPr>
          <w:p>
            <w:pPr>
              <w:pStyle w:val="Compact"/>
            </w:pPr>
            <w:r>
              <w:rPr>
                <w:b/>
                <w:bCs/>
              </w:rPr>
              <w:t xml:space="preserve">Ineligible costs total</w:t>
            </w:r>
          </w:p>
        </w:tc>
        <w:tc>
          <w:tcPr>
            <w:tcW w:type="dxa" w:w="1216"/>
            <w:shd w:val="clear" w:color="auto" w:fill="E6ECF4"/>
          </w:tcPr>
          <w:p>
            <w:pPr>
              <w:pStyle w:val="Compact"/>
            </w:pPr>
            <w:r>
              <w:rPr>
                <w:b/>
                <w:bCs/>
              </w:rPr>
              <w:t xml:space="preserve">11,183</w:t>
            </w:r>
          </w:p>
        </w:tc>
        <w:tc>
          <w:tcPr>
            <w:tcW w:type="dxa" w:w="1309"/>
            <w:shd w:val="clear" w:color="auto" w:fill="E6ECF4"/>
          </w:tcPr>
          <w:p>
            <w:pPr>
              <w:pStyle w:val="Compact"/>
            </w:pPr>
            <w:r>
              <w:rPr>
                <w:b/>
                <w:bCs/>
              </w:rPr>
              <w:t xml:space="preserve">43.01</w:t>
            </w:r>
          </w:p>
        </w:tc>
        <w:tc>
          <w:tcPr>
            <w:tcW w:type="dxa" w:w="1216"/>
            <w:shd w:val="clear" w:color="auto" w:fill="E6ECF4"/>
          </w:tcPr>
          <w:p>
            <w:pPr>
              <w:pStyle w:val="Compact"/>
            </w:pPr>
          </w:p>
        </w:tc>
      </w:tr>
    </w:tbl>
    <w:p>
      <w:pPr>
        <w:pStyle w:val="BodyText"/>
      </w:pPr>
      <w:r>
        <w:rPr>
          <w:b/>
          <w:bCs/>
        </w:rPr>
        <w:t xml:space="preserve">How the ineligible costs are funded.</w:t>
      </w:r>
      <w:r>
        <w:t xml:space="preserve"> </w:t>
      </w:r>
      <w:r>
        <w:t xml:space="preserve">The personal support (line 3.1, with its share of overheads and voids, £9.75 a week) is met from the provider's own funds, such as charitable income or donations, and is not charged to tenants. Fuel and water for tenants' own rooms (line 3.2, with its share of overheads and voids, £33.26 a week) is charged to each tenant as a personal charge, which Housing Benefit does not cover. Fuel for tenants' own rooms is an ineligible service charge, deducted in full because it is specified (Schedule 1, Part 2, paras 5 and 6(1)(b)). Water for tenants' own rooms is deducted under alternative regulation 12(3)(a) and (6)(b), which take off the share of the property's water charges matching the floor area of the tenant's own accommodation. The share for halls, passageways and rooms of common use stays in line 2.6 and is eligible (</w:t>
      </w:r>
      <w:r>
        <w:rPr>
          <w:i/>
          <w:iCs/>
        </w:rPr>
        <w:t xml:space="preserve">Liverpool City Council v NM and WD</w:t>
      </w:r>
      <w:r>
        <w:t xml:space="preserve"> </w:t>
      </w:r>
      <w:r>
        <w:t xml:space="preserve">[2015] UKUT 532 (AAC), paras 31 and 36 to 38).</w:t>
      </w:r>
    </w:p>
    <w:p>
      <w:pPr>
        <w:pStyle w:val="BodyText"/>
      </w:pPr>
      <w:r>
        <w:rPr>
          <w:b/>
          <w:bCs/>
        </w:rPr>
        <w:t xml:space="preserve">What the tenant pays and what Housing Benefit covers.</w:t>
      </w:r>
      <w:r>
        <w:t xml:space="preserve"> </w:t>
      </w:r>
      <w:r>
        <w:t xml:space="preserve">The total weekly charge to each tenant is £290.80: the eligible rent of £257.54 and the personal fuel and water charge of £33.26.</w:t>
      </w:r>
    </w:p>
    <w:p>
      <w:pPr>
        <w:pStyle w:val="BodyText"/>
      </w:pPr>
      <w:r>
        <w:rPr>
          <w:b/>
          <w:bCs/>
        </w:rPr>
        <w:t xml:space="preserve">Points to note.</w:t>
      </w:r>
    </w:p>
    <w:p>
      <w:pPr>
        <w:pStyle w:val="Compact"/>
        <w:numPr>
          <w:ilvl w:val="0"/>
          <w:numId w:val="1004"/>
        </w:numPr>
      </w:pPr>
      <w:r>
        <w:t xml:space="preserve">The core rent includes voids, long-term maintenance and general housing management. These are rent, not service charges (CH/3528/2006).</w:t>
      </w:r>
    </w:p>
    <w:p>
      <w:pPr>
        <w:pStyle w:val="Compact"/>
        <w:numPr>
          <w:ilvl w:val="0"/>
          <w:numId w:val="1004"/>
        </w:numPr>
      </w:pPr>
      <w:r>
        <w:t xml:space="preserve">The 8% allowance for voids and bad debts is based on the scheme's actual history, not a standard figure (</w:t>
      </w:r>
      <w:r>
        <w:rPr>
          <w:i/>
          <w:iCs/>
        </w:rPr>
        <w:t xml:space="preserve">ET v Rossendale</w:t>
      </w:r>
      <w:r>
        <w:t xml:space="preserve">, paras 41 to 43). Short-stay homeless schemes often have higher turnover than other supported housing. The Bristol example's voids line is about 7% of its total.</w:t>
      </w:r>
    </w:p>
    <w:p>
      <w:pPr>
        <w:pStyle w:val="Compact"/>
        <w:numPr>
          <w:ilvl w:val="0"/>
          <w:numId w:val="1004"/>
        </w:numPr>
      </w:pPr>
      <w:r>
        <w:t xml:space="preserve">The 10% central overhead is applied to service lines only, and falls pro rata on the ineligible lines (</w:t>
      </w:r>
      <w:r>
        <w:rPr>
          <w:i/>
          <w:iCs/>
        </w:rPr>
        <w:t xml:space="preserve">Allerdale</w:t>
      </w:r>
      <w:r>
        <w:t xml:space="preserve">, paras 37 and 38). The core rent carries its own management cost in line 1.4.</w:t>
      </w:r>
    </w:p>
    <w:p>
      <w:pPr>
        <w:pStyle w:val="Compact"/>
        <w:numPr>
          <w:ilvl w:val="0"/>
          <w:numId w:val="1004"/>
        </w:numPr>
      </w:pPr>
      <w:r>
        <w:t xml:space="preserve">Council tax (line 1.6) is included because the landlord, not the tenants, is liable for a shared house in multiple occupation. DWP's guidance is that where rent is increased to cover the landlord's council tax, the increase should be treated as rent and is eligible for Housing Benefit, but the total rent, including the council tax, must still be reasonable (</w:t>
      </w:r>
      <w:hyperlink r:id="rId24">
        <w:r>
          <w:rPr>
            <w:rStyle w:val="Hyperlink"/>
          </w:rPr>
          <w:t xml:space="preserve">Housing Benefit Guidance Manual, A4</w:t>
        </w:r>
      </w:hyperlink>
      <w:r>
        <w:t xml:space="preserve">, paras 4.160 and 4.161). It should be shown as a separate line so that the council can check it against the council tax bill.</w:t>
      </w:r>
    </w:p>
    <w:p>
      <w:pPr>
        <w:pStyle w:val="Compact"/>
        <w:numPr>
          <w:ilvl w:val="0"/>
          <w:numId w:val="1004"/>
        </w:numPr>
      </w:pPr>
      <w:r>
        <w:t xml:space="preserve">The eligible rent is then tested as a whole for reasonableness under regulation 13, against suitable alternative accommodation (Chapter 10).</w:t>
      </w:r>
    </w:p>
    <w:bookmarkEnd w:id="25"/>
    <w:bookmarkStart w:id="26" w:name="e5-year-on-year-comparison"/>
    <w:p>
      <w:pPr>
        <w:pStyle w:val="Heading3"/>
      </w:pPr>
      <w:r>
        <w:t xml:space="preserve">E5. Year-on-year comparison</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2244"/>
        <w:gridCol w:w="1309"/>
        <w:gridCol w:w="1309"/>
        <w:gridCol w:w="1309"/>
        <w:gridCol w:w="3180"/>
      </w:tblGrid>
      <w:tr>
        <w:trPr>
          <w:tblHeader w:val="on"/>
          <w:cantSplit/>
          <w:tblHeader w:val="true"/>
        </w:trPr>
        <w:tc>
          <w:tcPr>
            <w:tcW w:type="dxa" w:w="2244"/>
            <w:shd w:val="clear" w:color="auto" w:fill="002F6D"/>
          </w:tcPr>
          <w:p>
            <w:pPr>
              <w:pStyle w:val="Compact"/>
            </w:pPr>
            <w:r>
              <w:rPr>
                <w:b/>
                <w:color w:val="FFFFFF"/>
              </w:rPr>
              <w:t xml:space="preserve">Item</w:t>
            </w:r>
          </w:p>
        </w:tc>
        <w:tc>
          <w:tcPr>
            <w:tcW w:type="dxa" w:w="1309"/>
            <w:shd w:val="clear" w:color="auto" w:fill="002F6D"/>
          </w:tcPr>
          <w:p>
            <w:pPr>
              <w:pStyle w:val="Compact"/>
            </w:pPr>
            <w:r>
              <w:rPr>
                <w:b/>
                <w:color w:val="FFFFFF"/>
              </w:rPr>
              <w:t xml:space="preserve">Last year (£ per unit per week)</w:t>
            </w:r>
          </w:p>
        </w:tc>
        <w:tc>
          <w:tcPr>
            <w:tcW w:type="dxa" w:w="1309"/>
            <w:shd w:val="clear" w:color="auto" w:fill="002F6D"/>
          </w:tcPr>
          <w:p>
            <w:pPr>
              <w:pStyle w:val="Compact"/>
            </w:pPr>
            <w:r>
              <w:rPr>
                <w:b/>
                <w:color w:val="FFFFFF"/>
              </w:rPr>
              <w:t xml:space="preserve">This year (£ per unit per week)</w:t>
            </w:r>
          </w:p>
        </w:tc>
        <w:tc>
          <w:tcPr>
            <w:tcW w:type="dxa" w:w="1309"/>
            <w:shd w:val="clear" w:color="auto" w:fill="002F6D"/>
          </w:tcPr>
          <w:p>
            <w:pPr>
              <w:pStyle w:val="Compact"/>
            </w:pPr>
            <w:r>
              <w:rPr>
                <w:b/>
                <w:color w:val="FFFFFF"/>
              </w:rPr>
              <w:t xml:space="preserve">Change</w:t>
            </w:r>
          </w:p>
        </w:tc>
        <w:tc>
          <w:tcPr>
            <w:tcW w:type="dxa" w:w="3180"/>
            <w:shd w:val="clear" w:color="auto" w:fill="002F6D"/>
          </w:tcPr>
          <w:p>
            <w:pPr>
              <w:pStyle w:val="Compact"/>
            </w:pPr>
            <w:r>
              <w:rPr>
                <w:b/>
                <w:color w:val="FFFFFF"/>
              </w:rPr>
              <w:t xml:space="preserve">Reason and evidence</w:t>
            </w:r>
          </w:p>
        </w:tc>
      </w:tr>
      <w:tr>
        <w:trPr>
          <w:cantSplit/>
        </w:trPr>
        <w:tc>
          <w:tcPr>
            <w:tcW w:type="dxa" w:w="2244"/>
          </w:tcPr>
          <w:p>
            <w:pPr>
              <w:pStyle w:val="Compact"/>
            </w:pPr>
            <w:r>
              <w:t xml:space="preserve">Lease payment (1.1)</w:t>
            </w:r>
          </w:p>
        </w:tc>
        <w:tc>
          <w:tcPr>
            <w:tcW w:type="dxa" w:w="1309"/>
          </w:tcPr>
          <w:p>
            <w:pPr>
              <w:pStyle w:val="Compact"/>
            </w:pPr>
            <w:r>
              <w:t xml:space="preserve">111.65</w:t>
            </w:r>
          </w:p>
        </w:tc>
        <w:tc>
          <w:tcPr>
            <w:tcW w:type="dxa" w:w="1309"/>
          </w:tcPr>
          <w:p>
            <w:pPr>
              <w:pStyle w:val="Compact"/>
            </w:pPr>
            <w:r>
              <w:t xml:space="preserve">115.00</w:t>
            </w:r>
          </w:p>
        </w:tc>
        <w:tc>
          <w:tcPr>
            <w:tcW w:type="dxa" w:w="1309"/>
          </w:tcPr>
          <w:p>
            <w:pPr>
              <w:pStyle w:val="Compact"/>
            </w:pPr>
            <w:r>
              <w:t xml:space="preserve">+3.0%</w:t>
            </w:r>
          </w:p>
        </w:tc>
        <w:tc>
          <w:tcPr>
            <w:tcW w:type="dxa" w:w="3180"/>
          </w:tcPr>
          <w:p>
            <w:pPr>
              <w:pStyle w:val="Compact"/>
            </w:pPr>
            <w:r>
              <w:t xml:space="preserve">CPI uplift under the lease; lease clause and CPI figure provided</w:t>
            </w:r>
          </w:p>
        </w:tc>
      </w:tr>
      <w:tr>
        <w:trPr>
          <w:cantSplit/>
        </w:trPr>
        <w:tc>
          <w:tcPr>
            <w:tcW w:type="dxa" w:w="2244"/>
            <w:shd w:val="clear" w:color="auto" w:fill="E6ECF4"/>
          </w:tcPr>
          <w:p>
            <w:pPr>
              <w:pStyle w:val="Compact"/>
            </w:pPr>
            <w:r>
              <w:t xml:space="preserve">Responsive and cyclical repairs (1.2)</w:t>
            </w:r>
          </w:p>
        </w:tc>
        <w:tc>
          <w:tcPr>
            <w:tcW w:type="dxa" w:w="1309"/>
            <w:shd w:val="clear" w:color="auto" w:fill="E6ECF4"/>
          </w:tcPr>
          <w:p>
            <w:pPr>
              <w:pStyle w:val="Compact"/>
            </w:pPr>
            <w:r>
              <w:t xml:space="preserve">11.00</w:t>
            </w:r>
          </w:p>
        </w:tc>
        <w:tc>
          <w:tcPr>
            <w:tcW w:type="dxa" w:w="1309"/>
            <w:shd w:val="clear" w:color="auto" w:fill="E6ECF4"/>
          </w:tcPr>
          <w:p>
            <w:pPr>
              <w:pStyle w:val="Compact"/>
            </w:pPr>
            <w:r>
              <w:t xml:space="preserve">12.00</w:t>
            </w:r>
          </w:p>
        </w:tc>
        <w:tc>
          <w:tcPr>
            <w:tcW w:type="dxa" w:w="1309"/>
            <w:shd w:val="clear" w:color="auto" w:fill="E6ECF4"/>
          </w:tcPr>
          <w:p>
            <w:pPr>
              <w:pStyle w:val="Compact"/>
            </w:pPr>
            <w:r>
              <w:t xml:space="preserve">+9.1%</w:t>
            </w:r>
          </w:p>
        </w:tc>
        <w:tc>
          <w:tcPr>
            <w:tcW w:type="dxa" w:w="3180"/>
            <w:shd w:val="clear" w:color="auto" w:fill="E6ECF4"/>
          </w:tcPr>
          <w:p>
            <w:pPr>
              <w:pStyle w:val="Compact"/>
            </w:pPr>
            <w:r>
              <w:t xml:space="preserve">Higher spend on damage linked to tenants' needs; repairs log summary (Appendix 7, B1)</w:t>
            </w:r>
          </w:p>
        </w:tc>
      </w:tr>
      <w:tr>
        <w:trPr>
          <w:cantSplit/>
        </w:trPr>
        <w:tc>
          <w:tcPr>
            <w:tcW w:type="dxa" w:w="2244"/>
          </w:tcPr>
          <w:p>
            <w:pPr>
              <w:pStyle w:val="Compact"/>
            </w:pPr>
            <w:r>
              <w:t xml:space="preserve">Eligible staff costs (2.1 to 2.4)</w:t>
            </w:r>
          </w:p>
        </w:tc>
        <w:tc>
          <w:tcPr>
            <w:tcW w:type="dxa" w:w="1309"/>
          </w:tcPr>
          <w:p>
            <w:pPr>
              <w:pStyle w:val="Compact"/>
            </w:pPr>
            <w:r>
              <w:t xml:space="preserve">48.57</w:t>
            </w:r>
          </w:p>
        </w:tc>
        <w:tc>
          <w:tcPr>
            <w:tcW w:type="dxa" w:w="1309"/>
          </w:tcPr>
          <w:p>
            <w:pPr>
              <w:pStyle w:val="Compact"/>
            </w:pPr>
            <w:r>
              <w:t xml:space="preserve">50.51</w:t>
            </w:r>
          </w:p>
        </w:tc>
        <w:tc>
          <w:tcPr>
            <w:tcW w:type="dxa" w:w="1309"/>
          </w:tcPr>
          <w:p>
            <w:pPr>
              <w:pStyle w:val="Compact"/>
            </w:pPr>
            <w:r>
              <w:t xml:space="preserve">+4.0%</w:t>
            </w:r>
          </w:p>
        </w:tc>
        <w:tc>
          <w:tcPr>
            <w:tcW w:type="dxa" w:w="3180"/>
          </w:tcPr>
          <w:p>
            <w:pPr>
              <w:pStyle w:val="Compact"/>
            </w:pPr>
            <w:r>
              <w:t xml:space="preserve">Pay award; no change in staffing or time split</w:t>
            </w:r>
          </w:p>
        </w:tc>
      </w:tr>
      <w:tr>
        <w:trPr>
          <w:cantSplit/>
        </w:trPr>
        <w:tc>
          <w:tcPr>
            <w:tcW w:type="dxa" w:w="2244"/>
            <w:shd w:val="clear" w:color="auto" w:fill="E6ECF4"/>
          </w:tcPr>
          <w:p>
            <w:pPr>
              <w:pStyle w:val="Compact"/>
            </w:pPr>
            <w:r>
              <w:t xml:space="preserve">Communal fuel, lighting and water (2.6)</w:t>
            </w:r>
          </w:p>
        </w:tc>
        <w:tc>
          <w:tcPr>
            <w:tcW w:type="dxa" w:w="1309"/>
            <w:shd w:val="clear" w:color="auto" w:fill="E6ECF4"/>
          </w:tcPr>
          <w:p>
            <w:pPr>
              <w:pStyle w:val="Compact"/>
            </w:pPr>
            <w:r>
              <w:t xml:space="preserve">6.40</w:t>
            </w:r>
          </w:p>
        </w:tc>
        <w:tc>
          <w:tcPr>
            <w:tcW w:type="dxa" w:w="1309"/>
            <w:shd w:val="clear" w:color="auto" w:fill="E6ECF4"/>
          </w:tcPr>
          <w:p>
            <w:pPr>
              <w:pStyle w:val="Compact"/>
            </w:pPr>
            <w:r>
              <w:t xml:space="preserve">6.00</w:t>
            </w:r>
          </w:p>
        </w:tc>
        <w:tc>
          <w:tcPr>
            <w:tcW w:type="dxa" w:w="1309"/>
            <w:shd w:val="clear" w:color="auto" w:fill="E6ECF4"/>
          </w:tcPr>
          <w:p>
            <w:pPr>
              <w:pStyle w:val="Compact"/>
            </w:pPr>
            <w:r>
              <w:t xml:space="preserve">-6.3%</w:t>
            </w:r>
          </w:p>
        </w:tc>
        <w:tc>
          <w:tcPr>
            <w:tcW w:type="dxa" w:w="3180"/>
            <w:shd w:val="clear" w:color="auto" w:fill="E6ECF4"/>
          </w:tcPr>
          <w:p>
            <w:pPr>
              <w:pStyle w:val="Compact"/>
            </w:pPr>
            <w:r>
              <w:t xml:space="preserve">Lower energy tariff</w:t>
            </w:r>
          </w:p>
        </w:tc>
      </w:tr>
      <w:tr>
        <w:trPr>
          <w:cantSplit/>
        </w:trPr>
        <w:tc>
          <w:tcPr>
            <w:tcW w:type="dxa" w:w="2244"/>
          </w:tcPr>
          <w:p>
            <w:pPr>
              <w:pStyle w:val="Compact"/>
            </w:pPr>
            <w:r>
              <w:rPr>
                <w:b/>
                <w:bCs/>
              </w:rPr>
              <w:t xml:space="preserve">Eligible rent</w:t>
            </w:r>
          </w:p>
        </w:tc>
        <w:tc>
          <w:tcPr>
            <w:tcW w:type="dxa" w:w="1309"/>
          </w:tcPr>
          <w:p>
            <w:pPr>
              <w:pStyle w:val="Compact"/>
            </w:pPr>
            <w:r>
              <w:rPr>
                <w:b/>
                <w:bCs/>
              </w:rPr>
              <w:t xml:space="preserve">250.68</w:t>
            </w:r>
          </w:p>
        </w:tc>
        <w:tc>
          <w:tcPr>
            <w:tcW w:type="dxa" w:w="1309"/>
          </w:tcPr>
          <w:p>
            <w:pPr>
              <w:pStyle w:val="Compact"/>
            </w:pPr>
            <w:r>
              <w:rPr>
                <w:b/>
                <w:bCs/>
              </w:rPr>
              <w:t xml:space="preserve">257.54</w:t>
            </w:r>
          </w:p>
        </w:tc>
        <w:tc>
          <w:tcPr>
            <w:tcW w:type="dxa" w:w="1309"/>
          </w:tcPr>
          <w:p>
            <w:pPr>
              <w:pStyle w:val="Compact"/>
            </w:pPr>
            <w:r>
              <w:rPr>
                <w:b/>
                <w:bCs/>
              </w:rPr>
              <w:t xml:space="preserve">+2.7%, £6.86 a week</w:t>
            </w:r>
          </w:p>
        </w:tc>
        <w:tc>
          <w:tcPr>
            <w:tcW w:type="dxa" w:w="3180"/>
          </w:tcPr>
          <w:p>
            <w:pPr>
              <w:pStyle w:val="Compact"/>
            </w:pPr>
            <w:r>
              <w:t xml:space="preserve">The housing officer's share of line 1.4 also rises with the pay award. All other lines unchanged</w:t>
            </w:r>
          </w:p>
        </w:tc>
      </w:tr>
    </w:tbl>
    <w:bookmarkEnd w:id="26"/>
    <w:bookmarkEnd w:id="27"/>
    <w:bookmarkEnd w:id="28"/>
    <w:sectPr>
      <w:headerReference w:type="default" r:id="rId12"/>
      <w:footerReference w:type="default" r:id="rId13"/>
      <w:footerReference w:type="first" r:id="rId14"/>
      <w:footnotePr>
        <w:numRestart w:val="eachSect"/>
      </w:footnotePr>
      <w:pgSz w:w="11906" w:h="16838"/>
      <w:pgMar w:left="1304" w:right="1304" w:top="1417" w:bottom="1134" w:header="567" w:footer="510" w:gutter="0"/>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470"/>
        <w:sz w:val="17"/>
      </w:rPr>
      <w:t xml:space="preserve">Supported Housing People  |  supportedhousing.blog  |  Page </w:t>
    </w:r>
    <w:r>
      <w:rPr>
        <w:color w:val="5B6470"/>
        <w:sz w:val="17"/>
      </w:rPr>
      <w:fldChar w:fldCharType="begin"/>
      <w:instrText xml:space="preserve">PAGE</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470"/>
        <w:sz w:val="17"/>
      </w:rPr>
      <w:t xml:space="preserve">Supported Housing People  |  supportedhousing.blog  |  Page </w:t>
    </w:r>
    <w:r>
      <w:rPr>
        <w:color w:val="5B6470"/>
        <w:sz w:val="17"/>
      </w:rPr>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49" w:val="left"/>
        <w:tab w:pos="9298" w:val="right"/>
      </w:tabs>
    </w:pPr>
    <w:r>
      <w:drawing>
        <wp:inline xmlns:a="http://schemas.openxmlformats.org/drawingml/2006/main" xmlns:pic="http://schemas.openxmlformats.org/drawingml/2006/picture">
          <wp:extent cx="913500" cy="288000"/>
          <wp:docPr id="1" name="Picture 1"/>
          <wp:cNvGraphicFramePr>
            <a:graphicFrameLocks noChangeAspect="1"/>
          </wp:cNvGraphicFramePr>
          <a:graphic>
            <a:graphicData uri="http://schemas.openxmlformats.org/drawingml/2006/picture">
              <pic:pic>
                <pic:nvPicPr>
                  <pic:cNvPr id="0" name="shp_logo.png"/>
                  <pic:cNvPicPr/>
                </pic:nvPicPr>
                <pic:blipFill>
                  <a:blip r:embed="rId1"/>
                  <a:stretch>
                    <a:fillRect/>
                  </a:stretch>
                </pic:blipFill>
                <pic:spPr>
                  <a:xfrm>
                    <a:off x="0" y="0"/>
                    <a:ext cx="913500" cy="288000"/>
                  </a:xfrm>
                  <a:prstGeom prst="rect"/>
                </pic:spPr>
              </pic:pic>
            </a:graphicData>
          </a:graphic>
        </wp:inline>
      </w:drawing>
    </w:r>
    <w:r>
      <w:tab/>
      <w:tab/>
    </w:r>
    <w:r>
      <w:rPr>
        <w:color w:val="5B6470"/>
        <w:sz w:val="17"/>
      </w:rPr>
      <w:t>HB Good Practice Manual | Appendix 8 Template</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00" w:line="269" w:lineRule="auto"/>
    </w:pPr>
    <w:rPr>
      <w:rFonts w:ascii="Calibri" w:hAnsi="Calibri" w:eastAsia="Calibri" w:cs="Calibri"/>
      <w:color w:val="1F242B"/>
      <w:sz w:val="21"/>
    </w:rPr>
  </w:style>
  <w:style w:styleId="BodyText" w:type="paragraph">
    <w:name w:val="Body Text"/>
    <w:basedOn w:val="Normal"/>
    <w:link w:val="BodyTextChar"/>
    <w:qFormat/>
    <w:pPr>
      <w:spacing w:after="100" w:before="180" w:line="269" w:lineRule="auto"/>
    </w:pPr>
    <w:rPr>
      <w:rFonts w:ascii="Calibri" w:hAnsi="Calibri" w:eastAsia="Calibri" w:cs="Calibri"/>
      <w:color w:val="1F242B"/>
      <w:sz w:val="21"/>
    </w:rPr>
  </w:style>
  <w:style w:customStyle="1" w:styleId="FirstParagraph" w:type="paragraph">
    <w:name w:val="First Paragraph"/>
    <w:basedOn w:val="BodyText"/>
    <w:next w:val="BodyText"/>
    <w:qFormat/>
    <w:pPr>
      <w:spacing w:after="100" w:line="269" w:lineRule="auto"/>
    </w:pPr>
    <w:rPr>
      <w:rFonts w:ascii="Calibri" w:hAnsi="Calibri" w:eastAsia="Calibri" w:cs="Calibri"/>
      <w:color w:val="1F242B"/>
      <w:sz w:val="21"/>
    </w:rPr>
  </w:style>
  <w:style w:customStyle="1" w:styleId="Compact" w:type="paragraph">
    <w:name w:val="Compact"/>
    <w:basedOn w:val="BodyText"/>
    <w:qFormat/>
    <w:pPr>
      <w:spacing w:after="100" w:before="36" w:line="269" w:lineRule="auto"/>
    </w:pPr>
    <w:rPr>
      <w:rFonts w:ascii="Calibri" w:hAnsi="Calibri" w:eastAsia="Calibri" w:cs="Calibri"/>
      <w:color w:val="1F242B"/>
      <w:sz w:val="21"/>
    </w:rPr>
  </w:style>
  <w:style w:styleId="Title" w:type="paragraph">
    <w:name w:val="Title"/>
    <w:basedOn w:val="Normal"/>
    <w:next w:val="BodyText"/>
    <w:link w:val="TitleChar"/>
    <w:uiPriority w:val="10"/>
    <w:qFormat/>
    <w:rsid w:val="00A10FD9"/>
    <w:pPr>
      <w:keepNext/>
      <w:spacing w:after="80" w:line="240" w:lineRule="auto" w:before="180"/>
      <w:contextualSpacing/>
      <w:jc w:val="center"/>
    </w:pPr>
    <w:rPr>
      <w:rFonts w:ascii="Calibri" w:hAnsi="Calibri" w:eastAsia="Calibri" w:cs="Calibri"/>
      <w:b/>
      <w:i w:val="0"/>
      <w:color w:val="002F6D"/>
      <w:sz w:val="48"/>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180"/>
      <w:outlineLvl w:val="0"/>
    </w:pPr>
    <w:rPr>
      <w:rFonts w:ascii="Calibri" w:hAnsi="Calibri" w:eastAsia="Calibri" w:cs="Calibri"/>
      <w:b/>
      <w:i w:val="0"/>
      <w:color w:val="002F6D"/>
      <w:sz w:val="44"/>
      <w:szCs w:val="40"/>
    </w:rPr>
  </w:style>
  <w:style w:styleId="Heading2" w:type="paragraph">
    <w:name w:val="heading 2"/>
    <w:basedOn w:val="Normal"/>
    <w:next w:val="BodyText"/>
    <w:link w:val="Heading2Char"/>
    <w:uiPriority w:val="9"/>
    <w:semiHidden/>
    <w:unhideWhenUsed/>
    <w:qFormat/>
    <w:rsid w:val="00A10FD9"/>
    <w:pPr>
      <w:keepNext/>
      <w:keepLines/>
      <w:spacing w:after="80" w:before="280"/>
      <w:outlineLvl w:val="1"/>
    </w:pPr>
    <w:rPr>
      <w:rFonts w:ascii="Calibri" w:hAnsi="Calibri" w:eastAsia="Calibri" w:cs="Calibri"/>
      <w:b/>
      <w:i w:val="0"/>
      <w:color w:val="002F6D"/>
      <w:sz w:val="34"/>
      <w:szCs w:val="32"/>
    </w:rPr>
  </w:style>
  <w:style w:styleId="Heading3" w:type="paragraph">
    <w:name w:val="heading 3"/>
    <w:basedOn w:val="Normal"/>
    <w:next w:val="BodyText"/>
    <w:link w:val="Heading3Char"/>
    <w:uiPriority w:val="9"/>
    <w:semiHidden/>
    <w:unhideWhenUsed/>
    <w:qFormat/>
    <w:rsid w:val="00A10FD9"/>
    <w:pPr>
      <w:keepNext/>
      <w:keepLines/>
      <w:spacing w:after="80" w:before="280"/>
      <w:outlineLvl w:val="2"/>
    </w:pPr>
    <w:rPr>
      <w:rFonts w:ascii="Calibri" w:hAnsi="Calibri" w:eastAsia="Calibri" w:cs="Calibri"/>
      <w:b/>
      <w:i w:val="0"/>
      <w:color w:val="002F6D"/>
      <w:sz w:val="28"/>
      <w:szCs w:val="28"/>
    </w:rPr>
  </w:style>
  <w:style w:styleId="Heading4" w:type="paragraph">
    <w:name w:val="heading 4"/>
    <w:basedOn w:val="Normal"/>
    <w:next w:val="BodyText"/>
    <w:link w:val="Heading4Char"/>
    <w:uiPriority w:val="9"/>
    <w:semiHidden/>
    <w:unhideWhenUsed/>
    <w:qFormat/>
    <w:rsid w:val="00A10FD9"/>
    <w:pPr>
      <w:keepNext/>
      <w:keepLines/>
      <w:spacing w:after="80" w:before="180"/>
      <w:outlineLvl w:val="3"/>
    </w:pPr>
    <w:rPr>
      <w:rFonts w:ascii="Calibri" w:hAnsi="Calibri" w:eastAsia="Calibri" w:cs="Calibri"/>
      <w:b/>
      <w:i w:val="0"/>
      <w:iCs/>
      <w:color w:val="FF9202"/>
      <w:sz w:val="24"/>
    </w:rPr>
  </w:style>
  <w:style w:styleId="Heading5" w:type="paragraph">
    <w:name w:val="heading 5"/>
    <w:basedOn w:val="Normal"/>
    <w:next w:val="BodyText"/>
    <w:link w:val="Heading5Char"/>
    <w:uiPriority w:val="9"/>
    <w:semiHidden/>
    <w:unhideWhenUsed/>
    <w:qFormat/>
    <w:rsid w:val="00A10FD9"/>
    <w:pPr>
      <w:keepNext/>
      <w:keepLines/>
      <w:spacing w:after="80" w:before="180"/>
      <w:outlineLvl w:val="4"/>
    </w:pPr>
    <w:rPr>
      <w:rFonts w:ascii="Calibri" w:hAnsi="Calibri" w:eastAsia="Calibri" w:cs="Calibri"/>
      <w:b/>
      <w:i w:val="0"/>
      <w:color w:val="002F6D"/>
      <w:sz w:val="22"/>
    </w:rPr>
  </w:style>
  <w:style w:styleId="Heading6" w:type="paragraph">
    <w:name w:val="heading 6"/>
    <w:basedOn w:val="Normal"/>
    <w:next w:val="BodyText"/>
    <w:link w:val="Heading6Char"/>
    <w:uiPriority w:val="9"/>
    <w:semiHidden/>
    <w:unhideWhenUsed/>
    <w:qFormat/>
    <w:rsid w:val="00A10FD9"/>
    <w:pPr>
      <w:keepNext/>
      <w:keepLines/>
      <w:spacing w:after="80" w:before="180"/>
      <w:outlineLvl w:val="5"/>
    </w:pPr>
    <w:rPr>
      <w:rFonts w:ascii="Calibri" w:hAnsi="Calibri" w:eastAsia="Calibri" w:cs="Calibri"/>
      <w:b/>
      <w:i w:val="0"/>
      <w:iCs/>
      <w:color w:val="002F6D"/>
      <w:sz w:val="21"/>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rFonts w:ascii="Calibri" w:hAnsi="Calibri" w:eastAsia="Calibri" w:cs="Calibri"/>
      <w:color w:val="002F6D"/>
      <w:sz w:val="21"/>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24" Type="http://schemas.openxmlformats.org/officeDocument/2006/relationships/hyperlink" Target="https://assets.publishing.service.gov.uk/government/uploads/system/uploads/attachment_data/file/236953/hbgm-a4-eligible-rent.pdf" TargetMode="External"/><Relationship Id="rId20" Type="http://schemas.openxmlformats.org/officeDocument/2006/relationships/hyperlink" Target="https://committees.parliament.uk/writtenevidence/43790/pdf/" TargetMode="External"/><Relationship Id="rId9" Type="http://schemas.openxmlformats.org/officeDocument/2006/relationships/hyperlink" Target="https://creativecommons.org/licenses/by/4.0/" TargetMode="External"/><Relationship Id="rId19" Type="http://schemas.openxmlformats.org/officeDocument/2006/relationships/hyperlink" Target="https://shura.shu.ac.uk/34566/1/Supported_Housing_Review.pdf" TargetMode="External"/><Relationship Id="rId10" Type="http://schemas.openxmlformats.org/officeDocument/2006/relationships/hyperlink" Target="https://supportedhousing.blog/manual/" TargetMode="External"/><Relationship Id="rId11" Type="http://schemas.openxmlformats.org/officeDocument/2006/relationships/image" Target="media/image1.png"/><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4" Type="http://schemas.openxmlformats.org/officeDocument/2006/relationships/hyperlink" Target="https://assets.publishing.service.gov.uk/government/uploads/system/uploads/attachment_data/file/236953/hbgm-a4-eligible-rent.pdf" TargetMode="External"/><Relationship Id="rId20" Type="http://schemas.openxmlformats.org/officeDocument/2006/relationships/hyperlink" Target="https://committees.parliament.uk/writtenevidence/43790/pdf/" TargetMode="External"/><Relationship Id="rId9" Type="http://schemas.openxmlformats.org/officeDocument/2006/relationships/hyperlink" Target="https://creativecommons.org/licenses/by/4.0/" TargetMode="External"/><Relationship Id="rId19" Type="http://schemas.openxmlformats.org/officeDocument/2006/relationships/hyperlink" Target="https://shura.shu.ac.uk/34566/1/Supported_Housing_Review.pdf" TargetMode="External"/><Relationship Id="rId10" Type="http://schemas.openxmlformats.org/officeDocument/2006/relationships/hyperlink" Target="https://supportedhousing.blog/manu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2026-10-13T15:41:07Z</dcterms:created>
  <dcterms:modified xsi:type="dcterms:W3CDTF">2026-10-13T15:41:07Z</dcterms:modified>
</cp:coreProperties>
</file>

<file path=docProps/custom.xml><?xml version="1.0" encoding="utf-8"?>
<Properties xmlns="http://schemas.openxmlformats.org/officeDocument/2006/custom-properties" xmlns:vt="http://schemas.openxmlformats.org/officeDocument/2006/docPropsVTypes"/>
</file>